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351C7" w14:textId="77777777" w:rsidR="00AB67E1" w:rsidRDefault="00D61F32" w:rsidP="00AB67E1">
      <w:pPr>
        <w:jc w:val="center"/>
        <w:rPr>
          <w:b/>
        </w:rPr>
      </w:pPr>
      <w:bookmarkStart w:id="0" w:name="_GoBack"/>
      <w:bookmarkEnd w:id="0"/>
      <w:r w:rsidRPr="00AB67E1">
        <w:rPr>
          <w:b/>
          <w:noProof/>
          <w:lang w:eastAsia="en-GB"/>
        </w:rPr>
        <w:drawing>
          <wp:inline distT="0" distB="0" distL="0" distR="0" wp14:anchorId="329DB625" wp14:editId="6761871A">
            <wp:extent cx="872129" cy="404520"/>
            <wp:effectExtent l="0" t="0" r="4445" b="0"/>
            <wp:docPr id="3088" name="Picture 2" descr="RSP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2" descr="RSP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44" cy="42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67E1" w:rsidRPr="00AB67E1">
        <w:rPr>
          <w:b/>
          <w:noProof/>
          <w:lang w:eastAsia="en-GB"/>
        </w:rPr>
        <w:drawing>
          <wp:inline distT="0" distB="0" distL="0" distR="0" wp14:anchorId="2388D7BC" wp14:editId="53C91D04">
            <wp:extent cx="615981" cy="406988"/>
            <wp:effectExtent l="0" t="0" r="0" b="0"/>
            <wp:docPr id="20" name="Picture 19" descr="GWC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GWCT log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5" cy="41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7E1" w:rsidRPr="00AB67E1">
        <w:rPr>
          <w:noProof/>
          <w:lang w:eastAsia="en-GB"/>
        </w:rPr>
        <w:t xml:space="preserve"> </w:t>
      </w:r>
      <w:r w:rsidRPr="00D61F32">
        <w:rPr>
          <w:noProof/>
          <w:lang w:eastAsia="en-GB"/>
        </w:rPr>
        <w:t xml:space="preserve"> </w:t>
      </w:r>
      <w:r w:rsidRPr="00D61F32">
        <w:rPr>
          <w:noProof/>
          <w:lang w:eastAsia="en-GB"/>
        </w:rPr>
        <w:drawing>
          <wp:inline distT="0" distB="0" distL="0" distR="0" wp14:anchorId="656AF47F" wp14:editId="5332A85E">
            <wp:extent cx="1214323" cy="401798"/>
            <wp:effectExtent l="0" t="0" r="5080" b="0"/>
            <wp:docPr id="19" name="Picture 18" descr="B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BTO Logo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80" cy="40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32">
        <w:rPr>
          <w:noProof/>
          <w:lang w:eastAsia="en-GB"/>
        </w:rPr>
        <w:t xml:space="preserve"> </w:t>
      </w:r>
      <w:r w:rsidRPr="00D61F32">
        <w:rPr>
          <w:noProof/>
          <w:lang w:eastAsia="en-GB"/>
        </w:rPr>
        <w:drawing>
          <wp:inline distT="0" distB="0" distL="0" distR="0" wp14:anchorId="5971FE21" wp14:editId="052F2BFB">
            <wp:extent cx="808037" cy="692150"/>
            <wp:effectExtent l="0" t="0" r="0" b="0"/>
            <wp:docPr id="3083" name="Picture 14" descr="http://www.birdwatchmayo.org/images/BWI_logo_med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4" descr="http://www.birdwatchmayo.org/images/BWI_logo_med_yel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37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F32">
        <w:rPr>
          <w:noProof/>
          <w:lang w:eastAsia="en-GB"/>
        </w:rPr>
        <w:t xml:space="preserve"> </w:t>
      </w:r>
      <w:r w:rsidRPr="00D61F32">
        <w:rPr>
          <w:noProof/>
          <w:lang w:eastAsia="en-GB"/>
        </w:rPr>
        <w:drawing>
          <wp:inline distT="0" distB="0" distL="0" distR="0" wp14:anchorId="7DB6F68D" wp14:editId="6F1D6C2A">
            <wp:extent cx="1031443" cy="373185"/>
            <wp:effectExtent l="0" t="0" r="0" b="8255"/>
            <wp:docPr id="3087" name="Picture 8" descr="JN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Picture 8" descr="JNC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99" cy="37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50FC5" w14:textId="2B9E1AEE" w:rsidR="00AB67E1" w:rsidRDefault="00D61F32" w:rsidP="00AB67E1">
      <w:pPr>
        <w:jc w:val="center"/>
        <w:rPr>
          <w:b/>
        </w:rPr>
      </w:pPr>
      <w:r w:rsidRPr="00D61F32">
        <w:rPr>
          <w:b/>
          <w:noProof/>
          <w:lang w:eastAsia="en-GB"/>
        </w:rPr>
        <w:drawing>
          <wp:inline distT="0" distB="0" distL="0" distR="0" wp14:anchorId="56CB8BA8" wp14:editId="59B9845F">
            <wp:extent cx="481300" cy="413899"/>
            <wp:effectExtent l="0" t="0" r="0" b="5715"/>
            <wp:docPr id="3078" name="Picture 3" descr="AEWA_NoSubline_4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" descr="AEWA_NoSubline_4C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2" cy="41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F32">
        <w:rPr>
          <w:noProof/>
          <w:lang w:eastAsia="en-GB"/>
        </w:rPr>
        <w:t xml:space="preserve"> </w:t>
      </w:r>
      <w:r w:rsidRPr="00D61F32">
        <w:rPr>
          <w:b/>
          <w:noProof/>
          <w:lang w:eastAsia="en-GB"/>
        </w:rPr>
        <w:drawing>
          <wp:inline distT="0" distB="0" distL="0" distR="0" wp14:anchorId="3D181045" wp14:editId="5F350626">
            <wp:extent cx="1265529" cy="468396"/>
            <wp:effectExtent l="0" t="0" r="0" b="8255"/>
            <wp:docPr id="3081" name="Picture 2" descr="http://www.snh.gov.uk/_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2" descr="http://www.snh.gov.uk/_images/logo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95" cy="48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F32">
        <w:rPr>
          <w:noProof/>
          <w:lang w:eastAsia="en-GB"/>
        </w:rPr>
        <w:t xml:space="preserve"> </w:t>
      </w:r>
      <w:r w:rsidR="00252E58">
        <w:rPr>
          <w:noProof/>
          <w:lang w:eastAsia="en-GB"/>
        </w:rPr>
        <w:drawing>
          <wp:inline distT="0" distB="0" distL="0" distR="0" wp14:anchorId="6B7BF1A7" wp14:editId="384BD632">
            <wp:extent cx="4000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21016E54" wp14:editId="4EF247EF">
            <wp:extent cx="1345794" cy="394243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ture-Heritage-Gaeltacht-High-R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36" cy="40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3FBE773D" wp14:editId="08F129B8">
            <wp:extent cx="577901" cy="4088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rw_logo_cmyk_st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81" cy="4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26DA210E" wp14:editId="1932EC2E">
            <wp:extent cx="746150" cy="4041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artmentOfAgricultureAndRuralDevelopmentOfNorthernIreland_larg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52" cy="41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AE3C" w14:textId="19FF1F35" w:rsidR="00791FD4" w:rsidRPr="00AB67E1" w:rsidRDefault="00CD5F47" w:rsidP="00A76477">
      <w:pPr>
        <w:jc w:val="center"/>
        <w:rPr>
          <w:b/>
        </w:rPr>
      </w:pPr>
      <w:r w:rsidRPr="00AB67E1">
        <w:rPr>
          <w:b/>
        </w:rPr>
        <w:t>UK and</w:t>
      </w:r>
      <w:r w:rsidR="00791FD4" w:rsidRPr="00AB67E1">
        <w:rPr>
          <w:b/>
        </w:rPr>
        <w:t xml:space="preserve"> Ireland </w:t>
      </w:r>
      <w:r w:rsidRPr="00AB67E1">
        <w:rPr>
          <w:b/>
        </w:rPr>
        <w:t>Curlew Action G</w:t>
      </w:r>
      <w:r w:rsidR="00791FD4" w:rsidRPr="00AB67E1">
        <w:rPr>
          <w:b/>
        </w:rPr>
        <w:t>roup</w:t>
      </w:r>
    </w:p>
    <w:p w14:paraId="7F7C1FEA" w14:textId="77777777" w:rsidR="00791FD4" w:rsidRDefault="00CD5F47" w:rsidP="00AB67E1">
      <w:pPr>
        <w:jc w:val="center"/>
      </w:pPr>
      <w:r w:rsidRPr="00AB67E1">
        <w:rPr>
          <w:b/>
        </w:rPr>
        <w:t>Recommendations for Curlew</w:t>
      </w:r>
    </w:p>
    <w:p w14:paraId="0C0FF648" w14:textId="77777777" w:rsidR="00454036" w:rsidRDefault="00454036" w:rsidP="003367C9">
      <w:pPr>
        <w:rPr>
          <w:b/>
        </w:rPr>
      </w:pPr>
    </w:p>
    <w:p w14:paraId="57E15854" w14:textId="08504FBF" w:rsidR="00CD5F47" w:rsidRPr="001B6E92" w:rsidRDefault="00CD5F47" w:rsidP="003367C9">
      <w:pPr>
        <w:rPr>
          <w:b/>
        </w:rPr>
      </w:pPr>
      <w:r w:rsidRPr="001B6E92">
        <w:rPr>
          <w:b/>
        </w:rPr>
        <w:t>Background</w:t>
      </w:r>
    </w:p>
    <w:p w14:paraId="7B068653" w14:textId="5AB118A0" w:rsidR="00C06B6F" w:rsidRDefault="003139B2" w:rsidP="003367C9">
      <w:r>
        <w:t>Curlew are found throughout the year</w:t>
      </w:r>
      <w:r w:rsidR="00E63BFF">
        <w:t xml:space="preserve"> in the UK and Ireland</w:t>
      </w:r>
      <w:r>
        <w:t>, frequenting coast</w:t>
      </w:r>
      <w:r w:rsidR="00E3231F">
        <w:t>al and some farmland areas</w:t>
      </w:r>
      <w:r>
        <w:t xml:space="preserve"> in winter</w:t>
      </w:r>
      <w:r w:rsidR="00AE6A0E">
        <w:t>,</w:t>
      </w:r>
      <w:r>
        <w:t xml:space="preserve"> and breeding on upland grass</w:t>
      </w:r>
      <w:r w:rsidR="00CD5F47">
        <w:t>land</w:t>
      </w:r>
      <w:r>
        <w:t xml:space="preserve"> and moor</w:t>
      </w:r>
      <w:r w:rsidR="00CD5F47">
        <w:t>land</w:t>
      </w:r>
      <w:r w:rsidR="00E3231F">
        <w:t xml:space="preserve"> and in some lowland wet grasslands</w:t>
      </w:r>
      <w:r w:rsidR="00252E58">
        <w:t xml:space="preserve"> and heathlands</w:t>
      </w:r>
      <w:r w:rsidR="003367C9">
        <w:t xml:space="preserve">.  Formerly widespread </w:t>
      </w:r>
      <w:r w:rsidR="00DC554C">
        <w:t>across the UK and Ireland, the C</w:t>
      </w:r>
      <w:r w:rsidR="003367C9">
        <w:t xml:space="preserve">urlew is now undergoing a </w:t>
      </w:r>
      <w:r w:rsidR="00F24009">
        <w:t>sustained</w:t>
      </w:r>
      <w:r w:rsidR="003367C9">
        <w:t xml:space="preserve"> decline and is now in serious trouble in parts of its range</w:t>
      </w:r>
      <w:r w:rsidR="00C06B6F">
        <w:t>.</w:t>
      </w:r>
    </w:p>
    <w:p w14:paraId="445C0900" w14:textId="311649C7" w:rsidR="00CD5F47" w:rsidRDefault="00CD5F47" w:rsidP="00CD5F47">
      <w:r>
        <w:t xml:space="preserve">The UK </w:t>
      </w:r>
      <w:r w:rsidR="00377A19">
        <w:t xml:space="preserve">and Ireland </w:t>
      </w:r>
      <w:r w:rsidR="007A7AE3">
        <w:t>hold</w:t>
      </w:r>
      <w:r w:rsidR="00E3231F">
        <w:t>s</w:t>
      </w:r>
      <w:r w:rsidR="007A7AE3">
        <w:t xml:space="preserve"> </w:t>
      </w:r>
      <w:r>
        <w:t xml:space="preserve">up to 27% of the global breeding population. </w:t>
      </w:r>
      <w:r w:rsidR="00DC554C">
        <w:t xml:space="preserve"> </w:t>
      </w:r>
      <w:r w:rsidR="00E21CC1">
        <w:t xml:space="preserve">The Eurasian </w:t>
      </w:r>
      <w:r w:rsidR="00DC554C">
        <w:t>C</w:t>
      </w:r>
      <w:r>
        <w:t xml:space="preserve">urlew is listed as globally Near-Threatened on the IUCN Red List </w:t>
      </w:r>
      <w:r w:rsidR="00E21CC1">
        <w:t>of Threatened Species and is a R</w:t>
      </w:r>
      <w:r>
        <w:t>ed-listed Bird of Conservation Concern</w:t>
      </w:r>
      <w:r w:rsidR="00252E58">
        <w:t xml:space="preserve"> in the UK</w:t>
      </w:r>
      <w:r>
        <w:t>.</w:t>
      </w:r>
    </w:p>
    <w:p w14:paraId="7682A4DF" w14:textId="3D742EEC" w:rsidR="00DC554C" w:rsidRDefault="00F24009" w:rsidP="001F38FD">
      <w:r>
        <w:t xml:space="preserve">The </w:t>
      </w:r>
      <w:r w:rsidR="005F7101">
        <w:t xml:space="preserve">annual </w:t>
      </w:r>
      <w:r>
        <w:t>Breeding Bird Survey</w:t>
      </w:r>
      <w:r w:rsidR="005F7101">
        <w:t xml:space="preserve"> has reveale</w:t>
      </w:r>
      <w:r w:rsidR="00E21CC1">
        <w:t>d that between 1994 and 2016, C</w:t>
      </w:r>
      <w:r w:rsidR="005F7101">
        <w:t>urlew</w:t>
      </w:r>
      <w:r w:rsidR="00E21CC1">
        <w:t>s have declined by 31</w:t>
      </w:r>
      <w:r w:rsidR="005F7101">
        <w:t xml:space="preserve">% (England), </w:t>
      </w:r>
      <w:r>
        <w:t>59%</w:t>
      </w:r>
      <w:r w:rsidR="005F7101">
        <w:t xml:space="preserve"> (Scotland) and </w:t>
      </w:r>
      <w:r>
        <w:t>68%</w:t>
      </w:r>
      <w:r w:rsidR="005F7101">
        <w:t xml:space="preserve"> (Wales</w:t>
      </w:r>
      <w:r>
        <w:t>)</w:t>
      </w:r>
      <w:r w:rsidR="005F7101">
        <w:t>.</w:t>
      </w:r>
      <w:r w:rsidR="0013419D">
        <w:t xml:space="preserve">  </w:t>
      </w:r>
      <w:r w:rsidR="00914061">
        <w:t>In Northern Ireland</w:t>
      </w:r>
      <w:r w:rsidR="00DC554C">
        <w:t>,</w:t>
      </w:r>
      <w:r w:rsidR="00914061">
        <w:t xml:space="preserve"> the population has decreased by 82% since 1987. </w:t>
      </w:r>
      <w:r w:rsidR="00DC554C">
        <w:t xml:space="preserve"> </w:t>
      </w:r>
      <w:r w:rsidR="00C06B6F">
        <w:t xml:space="preserve">More recent work in the </w:t>
      </w:r>
      <w:r w:rsidR="00256F24">
        <w:t xml:space="preserve">Republic of Ireland estimated </w:t>
      </w:r>
      <w:r w:rsidR="00C06B6F">
        <w:t xml:space="preserve">that the breeding population may be </w:t>
      </w:r>
      <w:r w:rsidR="00CD5F47">
        <w:t xml:space="preserve">less </w:t>
      </w:r>
      <w:r w:rsidR="00C06B6F">
        <w:t xml:space="preserve">than </w:t>
      </w:r>
      <w:r w:rsidR="00256F24">
        <w:t>150 breeding pairs, down from 3,750</w:t>
      </w:r>
      <w:r w:rsidR="00CD5F47">
        <w:t>-4,000 pairs in the late 1980s</w:t>
      </w:r>
      <w:r w:rsidR="00E21CC1">
        <w:t xml:space="preserve"> -</w:t>
      </w:r>
      <w:r w:rsidR="00CD5F47">
        <w:t xml:space="preserve"> </w:t>
      </w:r>
      <w:r w:rsidR="00B25926">
        <w:t xml:space="preserve">a decline of </w:t>
      </w:r>
      <w:r w:rsidR="00CD5F47">
        <w:t>96%</w:t>
      </w:r>
      <w:r w:rsidR="002035D0">
        <w:t>.</w:t>
      </w:r>
      <w:r w:rsidR="00CD5F47">
        <w:t xml:space="preserve"> </w:t>
      </w:r>
    </w:p>
    <w:p w14:paraId="616E1783" w14:textId="7B0E9ABC" w:rsidR="001F38FD" w:rsidRDefault="001F38FD" w:rsidP="001F38FD">
      <w:r>
        <w:t>In Southern England</w:t>
      </w:r>
      <w:r w:rsidR="00DC554C">
        <w:t>,</w:t>
      </w:r>
      <w:r>
        <w:t xml:space="preserve"> recent surveys have shown there to be fewer than 300 pairs remaining. </w:t>
      </w:r>
      <w:r w:rsidR="00DC554C">
        <w:t xml:space="preserve"> </w:t>
      </w:r>
      <w:r>
        <w:t xml:space="preserve">Consequently, populations in Ireland and Southern England are thought to be at risk of imminent extinction. </w:t>
      </w:r>
    </w:p>
    <w:p w14:paraId="2D186E3A" w14:textId="5C64A3B1" w:rsidR="00791FD4" w:rsidRDefault="00C06B6F">
      <w:r>
        <w:t xml:space="preserve">The </w:t>
      </w:r>
      <w:r w:rsidR="00E3231F">
        <w:t xml:space="preserve">main reason for the </w:t>
      </w:r>
      <w:r>
        <w:t xml:space="preserve">decline </w:t>
      </w:r>
      <w:r w:rsidR="00E3231F">
        <w:t xml:space="preserve">is that too few pairs are producing young to maintain numbers. </w:t>
      </w:r>
      <w:r w:rsidR="00DC554C">
        <w:t xml:space="preserve"> </w:t>
      </w:r>
      <w:r w:rsidR="00E3231F">
        <w:t>The key f</w:t>
      </w:r>
      <w:r w:rsidR="00914061">
        <w:t>actors for this are likely to include:</w:t>
      </w:r>
      <w:r w:rsidR="00E3231F">
        <w:t xml:space="preserve"> </w:t>
      </w:r>
      <w:r>
        <w:t>habitat loss and fragmentation</w:t>
      </w:r>
      <w:r w:rsidR="00E3231F">
        <w:t>,</w:t>
      </w:r>
      <w:r w:rsidR="00431B67">
        <w:t xml:space="preserve"> for example </w:t>
      </w:r>
      <w:r w:rsidR="00E3231F">
        <w:t xml:space="preserve">through </w:t>
      </w:r>
      <w:r w:rsidR="00DC554C">
        <w:t>agricultural intensification</w:t>
      </w:r>
      <w:r w:rsidR="00914061">
        <w:t>, drainage of grasslands and changes in grazing; high levels of nest and chick predation;</w:t>
      </w:r>
      <w:r w:rsidR="00431B67">
        <w:t xml:space="preserve"> </w:t>
      </w:r>
      <w:r w:rsidR="00914061">
        <w:t xml:space="preserve">nest destruction due to </w:t>
      </w:r>
      <w:r w:rsidR="00431B67">
        <w:t>a switch from</w:t>
      </w:r>
      <w:r w:rsidR="00252E58">
        <w:t xml:space="preserve"> traditional</w:t>
      </w:r>
      <w:r w:rsidR="00431B67">
        <w:t xml:space="preserve"> hay</w:t>
      </w:r>
      <w:r w:rsidR="00252E58">
        <w:t xml:space="preserve"> management</w:t>
      </w:r>
      <w:r w:rsidR="00431B67">
        <w:t xml:space="preserve"> to silage</w:t>
      </w:r>
      <w:r w:rsidR="00914061">
        <w:t>; human disturbance</w:t>
      </w:r>
      <w:r w:rsidR="00377A19">
        <w:t>;</w:t>
      </w:r>
      <w:r w:rsidR="00914061">
        <w:t xml:space="preserve"> </w:t>
      </w:r>
      <w:r w:rsidR="00E3231F">
        <w:t>afforestation</w:t>
      </w:r>
      <w:r w:rsidR="00377A19">
        <w:t>; and land abandonment</w:t>
      </w:r>
      <w:r w:rsidR="00431B67">
        <w:t>.</w:t>
      </w:r>
      <w:r>
        <w:t xml:space="preserve"> </w:t>
      </w:r>
    </w:p>
    <w:p w14:paraId="1D49755F" w14:textId="4B888BEE" w:rsidR="00CD5F47" w:rsidRDefault="00431B67">
      <w:r>
        <w:t>The</w:t>
      </w:r>
      <w:r w:rsidR="00CD5F47">
        <w:t xml:space="preserve"> combination of </w:t>
      </w:r>
      <w:r w:rsidR="001B6E92">
        <w:t xml:space="preserve">global conservation status, rapid decline and </w:t>
      </w:r>
      <w:r w:rsidR="00E3231F">
        <w:t xml:space="preserve">the global importance of the UK breeding population </w:t>
      </w:r>
      <w:r w:rsidR="001B6E92">
        <w:t xml:space="preserve">makes </w:t>
      </w:r>
      <w:r w:rsidR="00E21CC1">
        <w:t>C</w:t>
      </w:r>
      <w:r w:rsidR="00E3231F">
        <w:t xml:space="preserve">urlew arguably the </w:t>
      </w:r>
      <w:r w:rsidR="001B6E92">
        <w:t>most urgent bird conservation priorit</w:t>
      </w:r>
      <w:r w:rsidR="00E3231F">
        <w:t xml:space="preserve">y </w:t>
      </w:r>
      <w:r w:rsidR="001B6E92">
        <w:t>in the UK.</w:t>
      </w:r>
    </w:p>
    <w:p w14:paraId="7D3215A6" w14:textId="77777777" w:rsidR="00F05289" w:rsidRPr="00F05289" w:rsidRDefault="00F05289">
      <w:pPr>
        <w:rPr>
          <w:b/>
        </w:rPr>
      </w:pPr>
      <w:r w:rsidRPr="00F05289">
        <w:rPr>
          <w:b/>
        </w:rPr>
        <w:t>What are we doing about it?</w:t>
      </w:r>
    </w:p>
    <w:p w14:paraId="57E2F37E" w14:textId="3A1787E0" w:rsidR="001F38FD" w:rsidRDefault="00F05289">
      <w:r>
        <w:t>The UK and I</w:t>
      </w:r>
      <w:r w:rsidR="00466D82">
        <w:t xml:space="preserve">reland Curlew Action Group </w:t>
      </w:r>
      <w:r w:rsidR="00377A19">
        <w:t>brings together the five</w:t>
      </w:r>
      <w:r>
        <w:t xml:space="preserve"> statutory agencies, JNCC, </w:t>
      </w:r>
      <w:r w:rsidR="00466D82">
        <w:t xml:space="preserve">the RSPB, </w:t>
      </w:r>
      <w:r>
        <w:t>Birdwatch Ireland, the Br</w:t>
      </w:r>
      <w:r w:rsidR="00466D82">
        <w:t xml:space="preserve">itish Trust for Ornithology, </w:t>
      </w:r>
      <w:r>
        <w:t>the Game and Wildlife Conservation Trust</w:t>
      </w:r>
      <w:r w:rsidR="00466D82">
        <w:t xml:space="preserve"> and the Southern Curlew Forum</w:t>
      </w:r>
      <w:r>
        <w:t xml:space="preserve">. </w:t>
      </w:r>
      <w:r w:rsidR="00DC554C">
        <w:t xml:space="preserve"> </w:t>
      </w:r>
      <w:r>
        <w:t>The aim of the group is to shape, drive and co-ordinate research and conservation action across the UK and Ireland with the aim of improv</w:t>
      </w:r>
      <w:r w:rsidR="00E21CC1">
        <w:t>ing the conservation status of C</w:t>
      </w:r>
      <w:r>
        <w:t>urlew</w:t>
      </w:r>
      <w:r w:rsidR="00E21CC1">
        <w:t>,</w:t>
      </w:r>
      <w:r>
        <w:t xml:space="preserve"> and to support international obligations</w:t>
      </w:r>
      <w:r w:rsidR="00F34D49">
        <w:t>, for example the African-Eurasian Waterbird Agreement,</w:t>
      </w:r>
      <w:r>
        <w:t xml:space="preserve"> to that end.</w:t>
      </w:r>
    </w:p>
    <w:p w14:paraId="0912BD40" w14:textId="340DE476" w:rsidR="00F05289" w:rsidRDefault="00F05289">
      <w:r>
        <w:t>Although there is work underway there is still much more to be done if we are to have any impact on stabilis</w:t>
      </w:r>
      <w:r w:rsidR="00E21CC1">
        <w:t>ing the breeding population of C</w:t>
      </w:r>
      <w:r>
        <w:t>urlew</w:t>
      </w:r>
      <w:r w:rsidR="00E3231F">
        <w:t xml:space="preserve">. </w:t>
      </w:r>
      <w:r w:rsidR="00DC554C">
        <w:t xml:space="preserve"> </w:t>
      </w:r>
      <w:r w:rsidR="00993B04">
        <w:t>It requires farmers, land-managers, conservation organisations and gover</w:t>
      </w:r>
      <w:r w:rsidR="00F34D49">
        <w:t>nment agencies to work together both locally and nationally.</w:t>
      </w:r>
    </w:p>
    <w:p w14:paraId="146A41C5" w14:textId="2F3FFAB7" w:rsidR="00F05289" w:rsidRDefault="00F05289" w:rsidP="00DC554C">
      <w:pPr>
        <w:keepNext/>
        <w:rPr>
          <w:b/>
        </w:rPr>
      </w:pPr>
      <w:r>
        <w:rPr>
          <w:b/>
        </w:rPr>
        <w:lastRenderedPageBreak/>
        <w:t xml:space="preserve">Recommendations </w:t>
      </w:r>
      <w:r w:rsidR="003C044D">
        <w:rPr>
          <w:b/>
        </w:rPr>
        <w:t>for Curlew in the UK</w:t>
      </w:r>
    </w:p>
    <w:p w14:paraId="4B69E0D5" w14:textId="77777777" w:rsidR="00F05289" w:rsidRPr="00B45DC1" w:rsidRDefault="00F05289" w:rsidP="00454036">
      <w:pPr>
        <w:keepNext/>
        <w:spacing w:after="0"/>
        <w:rPr>
          <w:b/>
        </w:rPr>
      </w:pPr>
      <w:r>
        <w:rPr>
          <w:b/>
        </w:rPr>
        <w:t>Generally</w:t>
      </w:r>
    </w:p>
    <w:p w14:paraId="37E3230C" w14:textId="5F50EAD0" w:rsidR="006A073E" w:rsidRDefault="00A66503" w:rsidP="00454036">
      <w:pPr>
        <w:spacing w:after="80"/>
      </w:pPr>
      <w:r>
        <w:t xml:space="preserve">Currently business </w:t>
      </w:r>
      <w:r w:rsidR="0033262F">
        <w:t>as usual is not delivering for C</w:t>
      </w:r>
      <w:r>
        <w:t xml:space="preserve">urlew. </w:t>
      </w:r>
      <w:r w:rsidR="0033262F">
        <w:t xml:space="preserve"> </w:t>
      </w:r>
      <w:r w:rsidR="006A073E">
        <w:t xml:space="preserve">Urgent action is required to raise </w:t>
      </w:r>
      <w:r w:rsidR="00E21CC1">
        <w:t xml:space="preserve">awareness of the plight of </w:t>
      </w:r>
      <w:r w:rsidR="0033262F">
        <w:t>C</w:t>
      </w:r>
      <w:r w:rsidR="006A073E">
        <w:t xml:space="preserve">urlew and to develop the support </w:t>
      </w:r>
      <w:r w:rsidR="002C1AFD">
        <w:t xml:space="preserve">package </w:t>
      </w:r>
      <w:r w:rsidR="006A073E">
        <w:t>necessary (</w:t>
      </w:r>
      <w:r w:rsidR="005F7CF0">
        <w:t xml:space="preserve">public, </w:t>
      </w:r>
      <w:r w:rsidR="006A073E">
        <w:t>political and funding) to improve the status of the species across the UK and Ireland</w:t>
      </w:r>
      <w:r w:rsidR="00E3231F">
        <w:t xml:space="preserve">. </w:t>
      </w:r>
      <w:r w:rsidR="0033262F">
        <w:t xml:space="preserve"> </w:t>
      </w:r>
      <w:r w:rsidR="00F05289">
        <w:t>This includes</w:t>
      </w:r>
      <w:r w:rsidR="00431B67">
        <w:t xml:space="preserve"> ensuring</w:t>
      </w:r>
      <w:r w:rsidR="00F05289">
        <w:t>:</w:t>
      </w:r>
    </w:p>
    <w:p w14:paraId="1FC44AC5" w14:textId="56A72E3D" w:rsidR="00431B67" w:rsidRDefault="00431B67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Agri-environment funding continues</w:t>
      </w:r>
      <w:r w:rsidR="001F38FD">
        <w:t xml:space="preserve"> and prescriptions are improved</w:t>
      </w:r>
      <w:r>
        <w:t xml:space="preserve"> post Brexit to support farmers </w:t>
      </w:r>
      <w:r w:rsidR="0033262F">
        <w:t>to manage land to benefit C</w:t>
      </w:r>
      <w:r w:rsidR="00A76477">
        <w:t>urlew</w:t>
      </w:r>
      <w:r w:rsidR="00993B04">
        <w:t xml:space="preserve">. </w:t>
      </w:r>
    </w:p>
    <w:p w14:paraId="48751F03" w14:textId="54D2553F" w:rsidR="00993B04" w:rsidRDefault="00993B04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Sufficient resource is available to advise, encourage and assist farmers to access</w:t>
      </w:r>
      <w:r w:rsidR="001F4216">
        <w:t xml:space="preserve">, </w:t>
      </w:r>
      <w:r>
        <w:t xml:space="preserve">deliver </w:t>
      </w:r>
      <w:r w:rsidR="001F4216">
        <w:t xml:space="preserve">and to monitor </w:t>
      </w:r>
      <w:r>
        <w:t>agri-environm</w:t>
      </w:r>
      <w:r w:rsidR="0033262F">
        <w:t>ent schemes for the benefit of C</w:t>
      </w:r>
      <w:r>
        <w:t>urlew.</w:t>
      </w:r>
    </w:p>
    <w:p w14:paraId="50339FD0" w14:textId="4D550DEC" w:rsidR="00993B04" w:rsidRDefault="00993B04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Special Protect</w:t>
      </w:r>
      <w:r w:rsidR="00525E54">
        <w:t>ion</w:t>
      </w:r>
      <w:r>
        <w:t xml:space="preserve"> Are</w:t>
      </w:r>
      <w:r w:rsidR="0033262F">
        <w:t>as are designated for non-breeding C</w:t>
      </w:r>
      <w:r>
        <w:t xml:space="preserve">urlew across the four countries. </w:t>
      </w:r>
      <w:r w:rsidR="0033262F">
        <w:t xml:space="preserve"> However, c</w:t>
      </w:r>
      <w:r>
        <w:t>urrently t</w:t>
      </w:r>
      <w:r w:rsidR="0033262F">
        <w:t>here are no SPAs with breeding C</w:t>
      </w:r>
      <w:r>
        <w:t>urlew listed as a qualifying feature</w:t>
      </w:r>
      <w:r w:rsidR="0058203B">
        <w:t>.  I</w:t>
      </w:r>
      <w:r>
        <w:t xml:space="preserve">t is critical that key </w:t>
      </w:r>
      <w:r w:rsidR="0058203B">
        <w:t xml:space="preserve">breeding </w:t>
      </w:r>
      <w:r>
        <w:t xml:space="preserve">sites are </w:t>
      </w:r>
      <w:r w:rsidR="00765DF1">
        <w:t xml:space="preserve">identified and </w:t>
      </w:r>
      <w:r w:rsidR="0058203B">
        <w:t>classified,</w:t>
      </w:r>
      <w:r>
        <w:t xml:space="preserve"> and </w:t>
      </w:r>
      <w:r w:rsidR="004C2EAC">
        <w:t xml:space="preserve">that </w:t>
      </w:r>
      <w:r>
        <w:t xml:space="preserve">their </w:t>
      </w:r>
      <w:r w:rsidR="004C2EAC">
        <w:t xml:space="preserve">protection and management is sustained </w:t>
      </w:r>
      <w:r w:rsidR="00E21CC1">
        <w:t>post-</w:t>
      </w:r>
      <w:r>
        <w:t>Brexit</w:t>
      </w:r>
      <w:r w:rsidR="001E6171">
        <w:t>.</w:t>
      </w:r>
    </w:p>
    <w:p w14:paraId="3B9858E4" w14:textId="2928C4FB" w:rsidR="00B52339" w:rsidRDefault="00B52339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 xml:space="preserve">Support is provided to reduce </w:t>
      </w:r>
      <w:r w:rsidR="004C2EAC">
        <w:t>the losses of eggs and chicks to</w:t>
      </w:r>
      <w:r>
        <w:t xml:space="preserve"> </w:t>
      </w:r>
      <w:r w:rsidR="00EA0AFD">
        <w:t xml:space="preserve">main </w:t>
      </w:r>
      <w:r>
        <w:t>predators across the wider landscape</w:t>
      </w:r>
      <w:r w:rsidR="004C2EAC">
        <w:t xml:space="preserve"> such that breeding productivity is sufficient to increase and maintain populations</w:t>
      </w:r>
      <w:r>
        <w:t xml:space="preserve">. </w:t>
      </w:r>
    </w:p>
    <w:p w14:paraId="2396F1DC" w14:textId="5F0E89BD" w:rsidR="001F38FD" w:rsidRDefault="001F38FD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While dealing with the immediate problem of high predator numbers, research is need</w:t>
      </w:r>
      <w:r w:rsidR="00E7224B">
        <w:t>ed</w:t>
      </w:r>
      <w:r>
        <w:t xml:space="preserve"> in the longer-term to develop an understanding of why predation rates are unsustaina</w:t>
      </w:r>
      <w:r w:rsidR="0033262F">
        <w:t>bly high in C</w:t>
      </w:r>
      <w:r>
        <w:t xml:space="preserve">urlew landscapes and how we can reduce them. </w:t>
      </w:r>
    </w:p>
    <w:p w14:paraId="171B707B" w14:textId="1C138631" w:rsidR="001F38FD" w:rsidRDefault="001F38FD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Consideration of head</w:t>
      </w:r>
      <w:r w:rsidR="0033262F">
        <w:t>-</w:t>
      </w:r>
      <w:r>
        <w:t>starting</w:t>
      </w:r>
      <w:r w:rsidR="0033262F">
        <w:rPr>
          <w:rStyle w:val="FootnoteReference"/>
        </w:rPr>
        <w:footnoteReference w:id="1"/>
      </w:r>
      <w:r>
        <w:t xml:space="preserve"> and related conservation breeding measures to support populations that are in danger of imminent extinction, or which are beginning to show recovery from a dangerously low number.</w:t>
      </w:r>
    </w:p>
    <w:p w14:paraId="55A15987" w14:textId="6A74CB4F" w:rsidR="001F38FD" w:rsidRDefault="001F38FD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 xml:space="preserve">Support for </w:t>
      </w:r>
      <w:r w:rsidRPr="002B316D">
        <w:rPr>
          <w:i/>
        </w:rPr>
        <w:t>clusters</w:t>
      </w:r>
      <w:r>
        <w:t xml:space="preserve"> of farm</w:t>
      </w:r>
      <w:r w:rsidR="00E21CC1">
        <w:t>s/nature reserves managing for C</w:t>
      </w:r>
      <w:r>
        <w:t>urlew</w:t>
      </w:r>
      <w:r w:rsidR="00E21CC1">
        <w:t>s, so that a suitable scale of C</w:t>
      </w:r>
      <w:r>
        <w:t>urlew-friendly landscapes can be achieved.</w:t>
      </w:r>
    </w:p>
    <w:p w14:paraId="6786D3B7" w14:textId="3574B134" w:rsidR="001E6171" w:rsidRDefault="001E6171" w:rsidP="00431B67">
      <w:pPr>
        <w:pStyle w:val="ListParagraph"/>
        <w:numPr>
          <w:ilvl w:val="0"/>
          <w:numId w:val="1"/>
        </w:numPr>
      </w:pPr>
      <w:r>
        <w:t>Additional funding is available to relevant agencies</w:t>
      </w:r>
      <w:r w:rsidR="00E3231F">
        <w:t xml:space="preserve"> and</w:t>
      </w:r>
      <w:r>
        <w:t xml:space="preserve"> conservation organisations to respond to the causes of decline and </w:t>
      </w:r>
      <w:r w:rsidR="004C2EAC">
        <w:t xml:space="preserve">investigate and </w:t>
      </w:r>
      <w:r>
        <w:t>deliver the optimum, sustainable land m</w:t>
      </w:r>
      <w:r w:rsidR="00454036">
        <w:t>anagement practices to benefit C</w:t>
      </w:r>
      <w:r>
        <w:t>urlew across landscapes</w:t>
      </w:r>
      <w:r w:rsidR="00765DF1">
        <w:t xml:space="preserve"> at scale</w:t>
      </w:r>
      <w:r>
        <w:t>.</w:t>
      </w:r>
    </w:p>
    <w:p w14:paraId="1B47EC3B" w14:textId="1F65A888" w:rsidR="00431B67" w:rsidRPr="001F4216" w:rsidRDefault="00431B67">
      <w:pPr>
        <w:rPr>
          <w:b/>
        </w:rPr>
      </w:pPr>
      <w:r w:rsidRPr="001F4216">
        <w:rPr>
          <w:b/>
        </w:rPr>
        <w:t>Uplands</w:t>
      </w:r>
      <w:r w:rsidR="00A66503">
        <w:rPr>
          <w:b/>
        </w:rPr>
        <w:t xml:space="preserve"> (including meadows, pastures and marginal areas)</w:t>
      </w:r>
    </w:p>
    <w:p w14:paraId="313E6482" w14:textId="44B4BA4D" w:rsidR="00993B04" w:rsidRDefault="00116A8B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 xml:space="preserve">Future sites for forest expansion and renewable energy </w:t>
      </w:r>
      <w:r w:rsidR="004C2EAC">
        <w:t xml:space="preserve">should </w:t>
      </w:r>
      <w:r>
        <w:t xml:space="preserve">avoid key sites. </w:t>
      </w:r>
      <w:r w:rsidR="0058203B">
        <w:t xml:space="preserve"> All </w:t>
      </w:r>
      <w:r w:rsidR="00993B04">
        <w:t>four countries have ambitious forest expansion and renewable energy targets to meet climate change commitments.</w:t>
      </w:r>
      <w:r w:rsidR="0058203B">
        <w:t xml:space="preserve"> </w:t>
      </w:r>
      <w:r w:rsidR="00993B04">
        <w:t xml:space="preserve"> The development of </w:t>
      </w:r>
      <w:r w:rsidR="00765DF1">
        <w:t xml:space="preserve">opportunity and </w:t>
      </w:r>
      <w:r w:rsidR="00993B04">
        <w:t xml:space="preserve">sensitivity maps </w:t>
      </w:r>
      <w:r w:rsidR="001E6171">
        <w:t>for these sectors could help in a</w:t>
      </w:r>
      <w:r w:rsidR="0033262F">
        <w:t>voiding key areas for breeding C</w:t>
      </w:r>
      <w:r w:rsidR="001E6171">
        <w:t>urlew.</w:t>
      </w:r>
    </w:p>
    <w:p w14:paraId="41A2973C" w14:textId="581F349B" w:rsidR="001E6171" w:rsidRDefault="001E6171" w:rsidP="00993B04">
      <w:pPr>
        <w:pStyle w:val="ListParagraph"/>
        <w:numPr>
          <w:ilvl w:val="0"/>
          <w:numId w:val="2"/>
        </w:numPr>
      </w:pPr>
      <w:r>
        <w:t xml:space="preserve">Farmers are encouraged </w:t>
      </w:r>
      <w:r w:rsidR="00765DF1">
        <w:t xml:space="preserve">and supported </w:t>
      </w:r>
      <w:r>
        <w:t>to adopt extensive grazing practices to help maintain the habitat mosaic and vegetation structure favoured by curlew.</w:t>
      </w:r>
      <w:r w:rsidR="00B52339">
        <w:t xml:space="preserve"> Also</w:t>
      </w:r>
      <w:r w:rsidR="00E21CC1">
        <w:t>,</w:t>
      </w:r>
      <w:r w:rsidR="00B52339">
        <w:t xml:space="preserve"> to dispose of fallen livestock.</w:t>
      </w:r>
    </w:p>
    <w:p w14:paraId="1590A1A1" w14:textId="77777777" w:rsidR="001E6171" w:rsidRPr="001F4216" w:rsidRDefault="001E6171">
      <w:pPr>
        <w:rPr>
          <w:b/>
        </w:rPr>
      </w:pPr>
      <w:r w:rsidRPr="001F4216">
        <w:rPr>
          <w:b/>
        </w:rPr>
        <w:t>Lowlands</w:t>
      </w:r>
    </w:p>
    <w:p w14:paraId="0CCF2778" w14:textId="51CC8CBC" w:rsidR="00622A71" w:rsidRDefault="00622A71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Key habitats such as lowland bogs, heaths and wet meadows are retained</w:t>
      </w:r>
      <w:r w:rsidR="00C16FC5">
        <w:t>.</w:t>
      </w:r>
    </w:p>
    <w:p w14:paraId="6895663E" w14:textId="61219987" w:rsidR="001F4216" w:rsidRDefault="001F4216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 xml:space="preserve">Farmers are encouraged to </w:t>
      </w:r>
      <w:r w:rsidR="00A66503">
        <w:t xml:space="preserve">restore natural field drainage, to </w:t>
      </w:r>
      <w:r>
        <w:t>use electric fences around nests and to del</w:t>
      </w:r>
      <w:r w:rsidR="0058203B">
        <w:t>ay hay cutting until after the C</w:t>
      </w:r>
      <w:r>
        <w:t>urlew breeding season.</w:t>
      </w:r>
    </w:p>
    <w:p w14:paraId="56D7EFCE" w14:textId="77777777" w:rsidR="001F38FD" w:rsidRDefault="001F38FD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Support is available for other innovative measures that can increase chick production.</w:t>
      </w:r>
    </w:p>
    <w:p w14:paraId="0096C204" w14:textId="131ECB7B" w:rsidR="001E6171" w:rsidRDefault="001F38FD" w:rsidP="00454036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</w:pPr>
      <w:r>
        <w:t>Appropriate measures are in place to manage inadvertent human recre</w:t>
      </w:r>
      <w:r w:rsidR="00BB498E">
        <w:t>ational disturbance of nesting C</w:t>
      </w:r>
      <w:r>
        <w:t>urlews, while taking oppo</w:t>
      </w:r>
      <w:r w:rsidR="0058203B">
        <w:t>rtunities to build support for C</w:t>
      </w:r>
      <w:r>
        <w:t>urlew conservation among local commu</w:t>
      </w:r>
      <w:r w:rsidR="00E21CC1">
        <w:t>nities (such as creating ‘C</w:t>
      </w:r>
      <w:r>
        <w:t>urlew guardians’).</w:t>
      </w:r>
    </w:p>
    <w:sectPr w:rsidR="001E6171" w:rsidSect="00454036">
      <w:footerReference w:type="default" r:id="rId19"/>
      <w:pgSz w:w="11906" w:h="16838"/>
      <w:pgMar w:top="113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3806" w14:textId="77777777" w:rsidR="003C2785" w:rsidRDefault="003C2785" w:rsidP="003367C9">
      <w:pPr>
        <w:spacing w:after="0" w:line="240" w:lineRule="auto"/>
      </w:pPr>
      <w:r>
        <w:separator/>
      </w:r>
    </w:p>
  </w:endnote>
  <w:endnote w:type="continuationSeparator" w:id="0">
    <w:p w14:paraId="0872BED1" w14:textId="77777777" w:rsidR="003C2785" w:rsidRDefault="003C2785" w:rsidP="0033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044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4D7CC" w14:textId="5FB780ED" w:rsidR="0058203B" w:rsidRDefault="005820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C4274" w14:textId="77777777" w:rsidR="003C2785" w:rsidRDefault="003C2785" w:rsidP="003367C9">
      <w:pPr>
        <w:spacing w:after="0" w:line="240" w:lineRule="auto"/>
      </w:pPr>
      <w:r>
        <w:separator/>
      </w:r>
    </w:p>
  </w:footnote>
  <w:footnote w:type="continuationSeparator" w:id="0">
    <w:p w14:paraId="4827F881" w14:textId="77777777" w:rsidR="003C2785" w:rsidRDefault="003C2785" w:rsidP="003367C9">
      <w:pPr>
        <w:spacing w:after="0" w:line="240" w:lineRule="auto"/>
      </w:pPr>
      <w:r>
        <w:continuationSeparator/>
      </w:r>
    </w:p>
  </w:footnote>
  <w:footnote w:id="1">
    <w:p w14:paraId="340FC02C" w14:textId="406663A5" w:rsidR="0033262F" w:rsidRDefault="0033262F">
      <w:pPr>
        <w:pStyle w:val="FootnoteText"/>
      </w:pPr>
      <w:r>
        <w:rPr>
          <w:rStyle w:val="FootnoteReference"/>
        </w:rPr>
        <w:footnoteRef/>
      </w:r>
      <w:r>
        <w:t xml:space="preserve"> The standard conservation management technique which involves removal of new-laid eggs from nests, their artificial incubation, and then their return to nests just prior to hatching.  This reduces predation risk during incubation.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88F"/>
    <w:multiLevelType w:val="hybridMultilevel"/>
    <w:tmpl w:val="FBB4C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A094D"/>
    <w:multiLevelType w:val="hybridMultilevel"/>
    <w:tmpl w:val="F8AE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F6893"/>
    <w:multiLevelType w:val="hybridMultilevel"/>
    <w:tmpl w:val="1508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6D73"/>
    <w:multiLevelType w:val="hybridMultilevel"/>
    <w:tmpl w:val="5B44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D4"/>
    <w:rsid w:val="00101C60"/>
    <w:rsid w:val="00116A8B"/>
    <w:rsid w:val="0013419D"/>
    <w:rsid w:val="00172499"/>
    <w:rsid w:val="001A053E"/>
    <w:rsid w:val="001B6E92"/>
    <w:rsid w:val="001E6171"/>
    <w:rsid w:val="001F38FD"/>
    <w:rsid w:val="001F4216"/>
    <w:rsid w:val="002035D0"/>
    <w:rsid w:val="00252E58"/>
    <w:rsid w:val="00256F24"/>
    <w:rsid w:val="002B04B9"/>
    <w:rsid w:val="002C1AFD"/>
    <w:rsid w:val="0030516B"/>
    <w:rsid w:val="00307EE6"/>
    <w:rsid w:val="003139B2"/>
    <w:rsid w:val="0033262F"/>
    <w:rsid w:val="003367C9"/>
    <w:rsid w:val="00377A19"/>
    <w:rsid w:val="003A7926"/>
    <w:rsid w:val="003C044D"/>
    <w:rsid w:val="003C2785"/>
    <w:rsid w:val="003D1BF8"/>
    <w:rsid w:val="00430DE2"/>
    <w:rsid w:val="00431B67"/>
    <w:rsid w:val="0044230D"/>
    <w:rsid w:val="00454036"/>
    <w:rsid w:val="00466D82"/>
    <w:rsid w:val="004A447D"/>
    <w:rsid w:val="004C2EAC"/>
    <w:rsid w:val="00525E54"/>
    <w:rsid w:val="0058203B"/>
    <w:rsid w:val="005C29DF"/>
    <w:rsid w:val="005E5C8F"/>
    <w:rsid w:val="005F7101"/>
    <w:rsid w:val="005F7CF0"/>
    <w:rsid w:val="00622A71"/>
    <w:rsid w:val="006569E7"/>
    <w:rsid w:val="006804A1"/>
    <w:rsid w:val="006A073E"/>
    <w:rsid w:val="00765DF1"/>
    <w:rsid w:val="00791FD4"/>
    <w:rsid w:val="00795984"/>
    <w:rsid w:val="007A7AE3"/>
    <w:rsid w:val="007E2718"/>
    <w:rsid w:val="00847AE7"/>
    <w:rsid w:val="008B4619"/>
    <w:rsid w:val="008E687B"/>
    <w:rsid w:val="00914061"/>
    <w:rsid w:val="00917A18"/>
    <w:rsid w:val="00993B04"/>
    <w:rsid w:val="009F57EF"/>
    <w:rsid w:val="00A15695"/>
    <w:rsid w:val="00A260AB"/>
    <w:rsid w:val="00A36D07"/>
    <w:rsid w:val="00A55FD3"/>
    <w:rsid w:val="00A66503"/>
    <w:rsid w:val="00A76477"/>
    <w:rsid w:val="00AB67E1"/>
    <w:rsid w:val="00AE6A0E"/>
    <w:rsid w:val="00B25926"/>
    <w:rsid w:val="00B45DC1"/>
    <w:rsid w:val="00B52339"/>
    <w:rsid w:val="00B5315E"/>
    <w:rsid w:val="00BB498E"/>
    <w:rsid w:val="00C05B34"/>
    <w:rsid w:val="00C06B6F"/>
    <w:rsid w:val="00C16FC5"/>
    <w:rsid w:val="00C672DB"/>
    <w:rsid w:val="00CC182E"/>
    <w:rsid w:val="00CD5F47"/>
    <w:rsid w:val="00D61F32"/>
    <w:rsid w:val="00DC554C"/>
    <w:rsid w:val="00DE1BA6"/>
    <w:rsid w:val="00E21CC1"/>
    <w:rsid w:val="00E3231F"/>
    <w:rsid w:val="00E63BFF"/>
    <w:rsid w:val="00E7224B"/>
    <w:rsid w:val="00EA0AFD"/>
    <w:rsid w:val="00F05289"/>
    <w:rsid w:val="00F20DC7"/>
    <w:rsid w:val="00F24009"/>
    <w:rsid w:val="00F34D49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1601"/>
  <w15:chartTrackingRefBased/>
  <w15:docId w15:val="{2CFC6AF7-A673-47EB-A076-744F39E4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36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6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7C9"/>
    <w:rPr>
      <w:vertAlign w:val="superscript"/>
    </w:rPr>
  </w:style>
  <w:style w:type="paragraph" w:customStyle="1" w:styleId="Default">
    <w:name w:val="Default"/>
    <w:rsid w:val="00C06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D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3B"/>
  </w:style>
  <w:style w:type="paragraph" w:styleId="Footer">
    <w:name w:val="footer"/>
    <w:basedOn w:val="Normal"/>
    <w:link w:val="FooterChar"/>
    <w:uiPriority w:val="99"/>
    <w:unhideWhenUsed/>
    <w:rsid w:val="0058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A082-5781-4326-A660-05055DF2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Patrick</dc:creator>
  <cp:keywords/>
  <dc:description/>
  <cp:lastModifiedBy>Sanders, Sarah</cp:lastModifiedBy>
  <cp:revision>2</cp:revision>
  <cp:lastPrinted>2017-10-20T15:58:00Z</cp:lastPrinted>
  <dcterms:created xsi:type="dcterms:W3CDTF">2017-10-24T09:06:00Z</dcterms:created>
  <dcterms:modified xsi:type="dcterms:W3CDTF">2017-10-24T09:06:00Z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