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D70" w:rsidRPr="00984FB8" w:rsidRDefault="001C592F" w:rsidP="00A31602">
      <w:pPr>
        <w:jc w:val="center"/>
        <w:rPr>
          <w:b/>
        </w:rPr>
      </w:pPr>
      <w:r w:rsidRPr="00984FB8">
        <w:rPr>
          <w:b/>
        </w:rPr>
        <w:t>Terms of Reference</w:t>
      </w:r>
    </w:p>
    <w:p w:rsidR="001C592F" w:rsidRDefault="008847EC" w:rsidP="00A31602">
      <w:pPr>
        <w:jc w:val="center"/>
      </w:pPr>
      <w:r>
        <w:rPr>
          <w:b/>
        </w:rPr>
        <w:t>UK</w:t>
      </w:r>
      <w:r w:rsidRPr="00984FB8">
        <w:rPr>
          <w:b/>
        </w:rPr>
        <w:t xml:space="preserve"> </w:t>
      </w:r>
      <w:r w:rsidR="001C592F" w:rsidRPr="00984FB8">
        <w:rPr>
          <w:b/>
        </w:rPr>
        <w:t xml:space="preserve">and Ireland Curlew </w:t>
      </w:r>
      <w:r w:rsidR="00A31602" w:rsidRPr="00984FB8">
        <w:rPr>
          <w:b/>
        </w:rPr>
        <w:t>Action</w:t>
      </w:r>
      <w:r w:rsidR="001C592F" w:rsidRPr="00984FB8">
        <w:rPr>
          <w:b/>
        </w:rPr>
        <w:t xml:space="preserve"> Group</w:t>
      </w:r>
    </w:p>
    <w:p w:rsidR="001C592F" w:rsidRDefault="001C592F"/>
    <w:p w:rsidR="00A31602" w:rsidRPr="00ED2CE4" w:rsidRDefault="00A31602">
      <w:pPr>
        <w:rPr>
          <w:b/>
        </w:rPr>
      </w:pPr>
      <w:r w:rsidRPr="00ED2CE4">
        <w:rPr>
          <w:b/>
        </w:rPr>
        <w:t>Purpose of the group</w:t>
      </w:r>
    </w:p>
    <w:p w:rsidR="00174BE4" w:rsidRDefault="00174BE4" w:rsidP="00174BE4">
      <w:r>
        <w:t>In 2015 the Eurasian curlew was recognised as the UK’s highest conservation priority bird species, based on the species adverse global conservation status (IUCN Near-Threatened), the importance of the UK breeding population (19-27% of the global population) and the rapid decline in the UK (-46% since 1995).</w:t>
      </w:r>
      <w:r w:rsidR="00DC403E">
        <w:t xml:space="preserve">  </w:t>
      </w:r>
      <w:r w:rsidR="009D4D6C">
        <w:t>The p</w:t>
      </w:r>
      <w:r w:rsidR="00DC403E">
        <w:t xml:space="preserve">opulation in </w:t>
      </w:r>
      <w:r w:rsidR="009D4D6C">
        <w:t xml:space="preserve">the </w:t>
      </w:r>
      <w:r w:rsidR="00DC403E">
        <w:t xml:space="preserve">Republic of Ireland </w:t>
      </w:r>
      <w:r w:rsidR="009D4D6C">
        <w:t xml:space="preserve">is </w:t>
      </w:r>
      <w:r w:rsidR="00DC403E">
        <w:t xml:space="preserve">now critically low (&lt;150 pairs), down from an estimated 12,000 pairs in 1985. </w:t>
      </w:r>
    </w:p>
    <w:p w:rsidR="00ED2CE4" w:rsidRDefault="00ED2CE4">
      <w:r>
        <w:t>The group will shape</w:t>
      </w:r>
      <w:r w:rsidR="00D64FB6">
        <w:t>, drive</w:t>
      </w:r>
      <w:r>
        <w:t xml:space="preserve"> and integrate programmes of conservation </w:t>
      </w:r>
      <w:r w:rsidR="00174BE4">
        <w:t xml:space="preserve">and research </w:t>
      </w:r>
      <w:r>
        <w:t xml:space="preserve">activity across </w:t>
      </w:r>
      <w:r w:rsidR="008847EC">
        <w:t xml:space="preserve">UK </w:t>
      </w:r>
      <w:r>
        <w:t xml:space="preserve">and Ireland </w:t>
      </w:r>
      <w:r w:rsidR="008847EC">
        <w:t xml:space="preserve">with the aim of </w:t>
      </w:r>
      <w:r>
        <w:t>improv</w:t>
      </w:r>
      <w:r w:rsidR="008847EC">
        <w:t>ing</w:t>
      </w:r>
      <w:r>
        <w:t xml:space="preserve"> the conservation status of the curlew</w:t>
      </w:r>
      <w:r w:rsidR="00BF1C35">
        <w:t xml:space="preserve"> and to support</w:t>
      </w:r>
      <w:r w:rsidR="008847EC">
        <w:t xml:space="preserve"> international obligations to that end</w:t>
      </w:r>
      <w:r w:rsidR="00C551E0">
        <w:t>.</w:t>
      </w:r>
    </w:p>
    <w:p w:rsidR="00E77674" w:rsidRPr="00984FB8" w:rsidRDefault="00E77674">
      <w:pPr>
        <w:rPr>
          <w:b/>
        </w:rPr>
      </w:pPr>
      <w:r w:rsidRPr="00984FB8">
        <w:rPr>
          <w:b/>
        </w:rPr>
        <w:t>Key Tasks</w:t>
      </w:r>
    </w:p>
    <w:p w:rsidR="00E849F6" w:rsidRDefault="00FB79C9">
      <w:r>
        <w:t>The g</w:t>
      </w:r>
      <w:r w:rsidR="00ED2CE4">
        <w:t xml:space="preserve">roup </w:t>
      </w:r>
      <w:r w:rsidR="00150F8E">
        <w:t xml:space="preserve">will </w:t>
      </w:r>
      <w:r w:rsidR="00E849F6">
        <w:t>act as an advisory group for interested parties and the statutory bodies or the organisations they represent on all matters relating to curlew.</w:t>
      </w:r>
    </w:p>
    <w:p w:rsidR="006033B7" w:rsidRDefault="00E849F6">
      <w:r>
        <w:t xml:space="preserve">The group will </w:t>
      </w:r>
      <w:r w:rsidR="00150F8E">
        <w:t xml:space="preserve">link </w:t>
      </w:r>
      <w:r w:rsidR="008847EC">
        <w:t xml:space="preserve">devolved </w:t>
      </w:r>
      <w:r w:rsidR="00150F8E">
        <w:t xml:space="preserve">national programmes of </w:t>
      </w:r>
      <w:r w:rsidR="00D64FB6">
        <w:t xml:space="preserve">conservation </w:t>
      </w:r>
      <w:r w:rsidR="00150F8E">
        <w:t xml:space="preserve">work for the curlew with </w:t>
      </w:r>
      <w:r w:rsidR="00D64FB6">
        <w:t xml:space="preserve">wider </w:t>
      </w:r>
      <w:r w:rsidR="00503EDE">
        <w:t>UK</w:t>
      </w:r>
      <w:r w:rsidR="00F07FC3">
        <w:t>, Ireland and International</w:t>
      </w:r>
      <w:r w:rsidR="00503EDE">
        <w:t xml:space="preserve"> obligations to contribute to the delivery of the AEWA </w:t>
      </w:r>
      <w:r w:rsidR="00ED2CE4">
        <w:t xml:space="preserve">International </w:t>
      </w:r>
      <w:r w:rsidR="00503EDE">
        <w:t xml:space="preserve">Single </w:t>
      </w:r>
      <w:r w:rsidR="00ED2CE4">
        <w:t>Species Action Plan</w:t>
      </w:r>
      <w:r w:rsidR="00D64FB6">
        <w:t xml:space="preserve"> f</w:t>
      </w:r>
      <w:r w:rsidR="006033B7">
        <w:t>or Eurasian curlew</w:t>
      </w:r>
      <w:r w:rsidR="001747F4">
        <w:t xml:space="preserve"> (see Annex </w:t>
      </w:r>
      <w:r w:rsidR="00063C8F">
        <w:t>1</w:t>
      </w:r>
      <w:r w:rsidR="001747F4">
        <w:t>)</w:t>
      </w:r>
      <w:r w:rsidR="008847EC">
        <w:t xml:space="preserve"> and requirements under the EU Birds Directive</w:t>
      </w:r>
      <w:r w:rsidR="00C551E0">
        <w:t>.</w:t>
      </w:r>
    </w:p>
    <w:p w:rsidR="006033B7" w:rsidRDefault="006033B7">
      <w:r>
        <w:t xml:space="preserve">The group may </w:t>
      </w:r>
      <w:r w:rsidR="009439B1">
        <w:t>recommend</w:t>
      </w:r>
      <w:r>
        <w:t xml:space="preserve"> (as necessary) research and reviews essential to </w:t>
      </w:r>
      <w:r w:rsidR="00146C0B">
        <w:t xml:space="preserve">further </w:t>
      </w:r>
      <w:r>
        <w:t>conservation action for the curlew</w:t>
      </w:r>
      <w:r w:rsidR="00C551E0">
        <w:t>.</w:t>
      </w:r>
    </w:p>
    <w:p w:rsidR="006033B7" w:rsidRDefault="0070466D">
      <w:r>
        <w:t>Group members will be the recognised first point of contact for their respective organisations – as such, group members are expected to be champions for the curlew, promoting awareness of the need for action to drive recovery of the species</w:t>
      </w:r>
      <w:r w:rsidR="00C551E0">
        <w:t>.</w:t>
      </w:r>
    </w:p>
    <w:p w:rsidR="00E77674" w:rsidRDefault="00E77674">
      <w:r>
        <w:t xml:space="preserve">The group will actively seek </w:t>
      </w:r>
      <w:r w:rsidR="006D4594">
        <w:t xml:space="preserve">to identify </w:t>
      </w:r>
      <w:r>
        <w:t xml:space="preserve">funding opportunities </w:t>
      </w:r>
      <w:r w:rsidR="00927DD3">
        <w:t xml:space="preserve">to support the delivery of </w:t>
      </w:r>
      <w:r w:rsidR="006D4594">
        <w:t xml:space="preserve">actions for </w:t>
      </w:r>
      <w:r w:rsidR="00927DD3">
        <w:t>curlew</w:t>
      </w:r>
      <w:r w:rsidR="006D4594">
        <w:t xml:space="preserve"> conservation</w:t>
      </w:r>
      <w:r w:rsidR="00C551E0">
        <w:t>.</w:t>
      </w:r>
    </w:p>
    <w:p w:rsidR="00A31602" w:rsidRDefault="009D4D6C">
      <w:r>
        <w:t>G</w:t>
      </w:r>
      <w:r w:rsidR="00174BE4">
        <w:t xml:space="preserve">roup </w:t>
      </w:r>
      <w:r>
        <w:t xml:space="preserve">members </w:t>
      </w:r>
      <w:r w:rsidR="00174BE4">
        <w:t xml:space="preserve">will share the results of </w:t>
      </w:r>
      <w:r w:rsidR="00C6796E">
        <w:t xml:space="preserve">curlew </w:t>
      </w:r>
      <w:r w:rsidR="00174BE4">
        <w:t>research</w:t>
      </w:r>
      <w:r w:rsidR="005F2F84">
        <w:t>, survey</w:t>
      </w:r>
      <w:r w:rsidR="00174BE4">
        <w:t xml:space="preserve"> and monitoring </w:t>
      </w:r>
      <w:r w:rsidR="00C6796E">
        <w:t>when available</w:t>
      </w:r>
      <w:r w:rsidR="00570D76">
        <w:t xml:space="preserve"> </w:t>
      </w:r>
      <w:r w:rsidR="00174BE4">
        <w:t>to ensure</w:t>
      </w:r>
      <w:r w:rsidR="00570D76">
        <w:t xml:space="preserve"> that group members are </w:t>
      </w:r>
      <w:r>
        <w:t xml:space="preserve">fully informed </w:t>
      </w:r>
      <w:r w:rsidR="00C6796E">
        <w:t xml:space="preserve">about ongoing and emerging work.  The group will produce a succinct 6-monthly update (coincident with meetings) that </w:t>
      </w:r>
      <w:r w:rsidR="004F7D60">
        <w:t>summarises r</w:t>
      </w:r>
      <w:r w:rsidR="00C6796E">
        <w:t xml:space="preserve">elevant </w:t>
      </w:r>
      <w:r w:rsidR="004F7D60">
        <w:t>activity</w:t>
      </w:r>
      <w:r w:rsidR="00C551E0">
        <w:t>.</w:t>
      </w:r>
    </w:p>
    <w:p w:rsidR="0005281B" w:rsidRDefault="0063105D">
      <w:pPr>
        <w:keepNext/>
        <w:rPr>
          <w:b/>
        </w:rPr>
      </w:pPr>
      <w:r w:rsidRPr="0063105D">
        <w:rPr>
          <w:b/>
        </w:rPr>
        <w:t>How the group will operate</w:t>
      </w:r>
    </w:p>
    <w:p w:rsidR="004F7D60" w:rsidRDefault="004F7D60" w:rsidP="00153786">
      <w:r>
        <w:t>The RSPB will provide the secretariat to oversee the administrative needs of the group.</w:t>
      </w:r>
    </w:p>
    <w:p w:rsidR="00153786" w:rsidRDefault="006D4594" w:rsidP="00153786">
      <w:r>
        <w:t>T</w:t>
      </w:r>
      <w:r w:rsidR="00153786">
        <w:t xml:space="preserve">he Action Group will comprise </w:t>
      </w:r>
      <w:r>
        <w:t>representatives</w:t>
      </w:r>
      <w:r w:rsidR="00153786">
        <w:t xml:space="preserve"> of statutory nature conservation bodies and NGOs actively engaged in the conservation </w:t>
      </w:r>
      <w:r w:rsidR="00174BE4">
        <w:t xml:space="preserve">and associated research </w:t>
      </w:r>
      <w:r w:rsidR="00153786">
        <w:t xml:space="preserve">of the curlew in </w:t>
      </w:r>
      <w:r>
        <w:t xml:space="preserve">UK </w:t>
      </w:r>
      <w:r w:rsidR="00153786">
        <w:t>and Ireland</w:t>
      </w:r>
      <w:r w:rsidR="00C551E0">
        <w:t>.</w:t>
      </w:r>
    </w:p>
    <w:p w:rsidR="00837928" w:rsidRPr="00E65351" w:rsidRDefault="00837928" w:rsidP="00153786">
      <w:pPr>
        <w:rPr>
          <w:b/>
        </w:rPr>
      </w:pPr>
      <w:r w:rsidRPr="00E65351">
        <w:rPr>
          <w:b/>
        </w:rPr>
        <w:t>Decision making</w:t>
      </w:r>
    </w:p>
    <w:p w:rsidR="00B16E25" w:rsidRDefault="00570D76" w:rsidP="00153786">
      <w:r>
        <w:lastRenderedPageBreak/>
        <w:t>Record of meetings – meeting notes will be drafted</w:t>
      </w:r>
      <w:r w:rsidR="004F7D60">
        <w:t xml:space="preserve">, </w:t>
      </w:r>
      <w:r>
        <w:t>circulated and signed off by the group</w:t>
      </w:r>
      <w:r w:rsidR="004F7D60">
        <w:t xml:space="preserve"> no more than one month after the meeting.</w:t>
      </w:r>
    </w:p>
    <w:p w:rsidR="001C592F" w:rsidRDefault="001C592F">
      <w:r>
        <w:t>Frequency – the grou</w:t>
      </w:r>
      <w:r w:rsidR="00A31602">
        <w:t xml:space="preserve">p will meet every </w:t>
      </w:r>
      <w:r w:rsidR="006D4594">
        <w:t>six</w:t>
      </w:r>
      <w:r w:rsidR="00A31602">
        <w:t xml:space="preserve"> months</w:t>
      </w:r>
      <w:r w:rsidR="00B16E25">
        <w:t xml:space="preserve"> or as otherwise determined</w:t>
      </w:r>
      <w:r w:rsidR="00A31602">
        <w:t>.  Participants may attend in person or join remotely</w:t>
      </w:r>
      <w:r w:rsidR="003A2E47">
        <w:rPr>
          <w:rStyle w:val="FootnoteReference"/>
        </w:rPr>
        <w:footnoteReference w:id="1"/>
      </w:r>
      <w:r w:rsidR="004A2C9B">
        <w:t xml:space="preserve">.  </w:t>
      </w:r>
      <w:r w:rsidR="003A2E47">
        <w:t xml:space="preserve">Meetings will comprise a formal session and may include an additional site visit to see the delivery of action on the ground.  </w:t>
      </w:r>
      <w:r w:rsidR="00984FB8">
        <w:t>Possible m</w:t>
      </w:r>
      <w:r w:rsidR="004A2C9B">
        <w:t xml:space="preserve">eeting dates will be </w:t>
      </w:r>
      <w:r w:rsidR="00984FB8">
        <w:t>shared</w:t>
      </w:r>
      <w:r w:rsidR="00471C7B">
        <w:t xml:space="preserve"> (e.g. </w:t>
      </w:r>
      <w:r w:rsidR="004A2C9B">
        <w:t>by Doodle Poll</w:t>
      </w:r>
      <w:r w:rsidR="00471C7B">
        <w:t xml:space="preserve">) with date of next meeting </w:t>
      </w:r>
      <w:r w:rsidR="00C06FFC">
        <w:t xml:space="preserve">and location </w:t>
      </w:r>
      <w:r w:rsidR="00471C7B">
        <w:t xml:space="preserve">confirmed </w:t>
      </w:r>
      <w:r w:rsidR="007F7C22">
        <w:t>by correspondence</w:t>
      </w:r>
      <w:r w:rsidR="00C551E0">
        <w:t>.</w:t>
      </w:r>
      <w:r w:rsidR="003A2E47">
        <w:t xml:space="preserve"> </w:t>
      </w:r>
    </w:p>
    <w:p w:rsidR="00471C7B" w:rsidRDefault="00471C7B">
      <w:r>
        <w:t xml:space="preserve">Agenda – the Action Group will identify/agree future agenda items with a draft agenda circulated </w:t>
      </w:r>
      <w:r w:rsidR="00C06FFC">
        <w:t xml:space="preserve">3-weeks </w:t>
      </w:r>
      <w:r>
        <w:t xml:space="preserve">in advance of each meeting.  The </w:t>
      </w:r>
      <w:r w:rsidR="0044407F">
        <w:t>final</w:t>
      </w:r>
      <w:r>
        <w:t xml:space="preserve"> agenda and supporting papers will be circulated </w:t>
      </w:r>
      <w:r w:rsidR="00F705C6">
        <w:t xml:space="preserve">at least </w:t>
      </w:r>
      <w:r w:rsidR="00E65351">
        <w:t xml:space="preserve">one week </w:t>
      </w:r>
      <w:r>
        <w:t>before the meeting takes place</w:t>
      </w:r>
      <w:r w:rsidR="00C551E0">
        <w:t>.</w:t>
      </w:r>
    </w:p>
    <w:p w:rsidR="00A31602" w:rsidRDefault="00A31602">
      <w:r>
        <w:t>Chair - the group will be chaired by Pat Thompson (RSPB</w:t>
      </w:r>
      <w:r w:rsidR="00984FB8">
        <w:t>)</w:t>
      </w:r>
      <w:r w:rsidR="00C551E0">
        <w:t>.</w:t>
      </w:r>
    </w:p>
    <w:p w:rsidR="00E849F6" w:rsidRPr="00E65351" w:rsidRDefault="00E65351">
      <w:pPr>
        <w:rPr>
          <w:b/>
        </w:rPr>
      </w:pPr>
      <w:r w:rsidRPr="00E65351">
        <w:rPr>
          <w:b/>
        </w:rPr>
        <w:t>Communications</w:t>
      </w:r>
    </w:p>
    <w:p w:rsidR="00E849F6" w:rsidRDefault="00E849F6" w:rsidP="00E849F6">
      <w:r>
        <w:t>Group members may be asked to contribute to media releases (for example through drafting press releases and/or provision of a quote) and/or as a spokesperson to talk to media contacts.</w:t>
      </w:r>
    </w:p>
    <w:p w:rsidR="00E65351" w:rsidRDefault="00E65351" w:rsidP="00E849F6">
      <w:r w:rsidRPr="002B2942">
        <w:rPr>
          <w:highlight w:val="yellow"/>
        </w:rPr>
        <w:t>When producing publications, press releases, presentations etc. about curlew, the following strapline must be used:</w:t>
      </w:r>
    </w:p>
    <w:p w:rsidR="00E65351" w:rsidRDefault="00E65351" w:rsidP="00E849F6">
      <w:bookmarkStart w:id="0" w:name="_GoBack"/>
      <w:r w:rsidRPr="002B2942">
        <w:rPr>
          <w:highlight w:val="yellow"/>
        </w:rPr>
        <w:t xml:space="preserve">XX (name of organisation) is a member of the UK and Ireland Curlew Action Group which brings together five statutory agencies, </w:t>
      </w:r>
      <w:r w:rsidRPr="002B2942">
        <w:rPr>
          <w:highlight w:val="yellow"/>
        </w:rPr>
        <w:t>Birdwatch Ireland</w:t>
      </w:r>
      <w:r w:rsidRPr="002B2942">
        <w:rPr>
          <w:highlight w:val="yellow"/>
        </w:rPr>
        <w:t xml:space="preserve">, BTO, GWCT, RSPB and the Southern Curlew Forum to shape and drive a co-ordinated programme of research and action </w:t>
      </w:r>
      <w:r w:rsidR="002B2942" w:rsidRPr="002B2942">
        <w:rPr>
          <w:highlight w:val="yellow"/>
        </w:rPr>
        <w:t>to improve the co</w:t>
      </w:r>
      <w:r w:rsidR="002B2942">
        <w:rPr>
          <w:highlight w:val="yellow"/>
        </w:rPr>
        <w:t xml:space="preserve">nservation prospects for curlew and to support international obligations, particularly the African-Eurasian </w:t>
      </w:r>
      <w:proofErr w:type="spellStart"/>
      <w:r w:rsidR="002B2942">
        <w:rPr>
          <w:highlight w:val="yellow"/>
        </w:rPr>
        <w:t>Waterbird</w:t>
      </w:r>
      <w:proofErr w:type="spellEnd"/>
      <w:r w:rsidR="002B2942">
        <w:rPr>
          <w:highlight w:val="yellow"/>
        </w:rPr>
        <w:t xml:space="preserve"> Agreement.</w:t>
      </w:r>
    </w:p>
    <w:bookmarkEnd w:id="0"/>
    <w:p w:rsidR="00E65351" w:rsidRPr="00E65351" w:rsidRDefault="00E65351" w:rsidP="00E849F6">
      <w:pPr>
        <w:rPr>
          <w:b/>
        </w:rPr>
      </w:pPr>
      <w:r w:rsidRPr="00E65351">
        <w:rPr>
          <w:b/>
        </w:rPr>
        <w:t>Resources</w:t>
      </w:r>
    </w:p>
    <w:p w:rsidR="00E849F6" w:rsidRDefault="00E849F6" w:rsidP="00E849F6">
      <w:r>
        <w:t>The group may ask their respective organisations to contribute resources (for example staff time) to research, compile reviews and report as agreed.</w:t>
      </w:r>
    </w:p>
    <w:p w:rsidR="006033B7" w:rsidRPr="0063105D" w:rsidRDefault="007F7C22" w:rsidP="006033B7">
      <w:pPr>
        <w:rPr>
          <w:b/>
        </w:rPr>
      </w:pPr>
      <w:r>
        <w:rPr>
          <w:b/>
        </w:rPr>
        <w:t xml:space="preserve">Group </w:t>
      </w:r>
      <w:r w:rsidR="006033B7" w:rsidRPr="0063105D">
        <w:rPr>
          <w:b/>
        </w:rPr>
        <w:t>Members</w:t>
      </w:r>
      <w:r>
        <w:rPr>
          <w:b/>
        </w:rPr>
        <w:t>hip</w:t>
      </w:r>
    </w:p>
    <w:p w:rsidR="007C2D9D" w:rsidRPr="007C2D9D" w:rsidRDefault="007C2D9D">
      <w:pPr>
        <w:rPr>
          <w:b/>
          <w:i/>
        </w:rPr>
      </w:pPr>
      <w:r w:rsidRPr="007C2D9D">
        <w:rPr>
          <w:b/>
          <w:i/>
        </w:rPr>
        <w:t>UK</w:t>
      </w:r>
    </w:p>
    <w:p w:rsidR="001C592F" w:rsidRDefault="001C592F">
      <w:r>
        <w:t>British Trust for Ornithology</w:t>
      </w:r>
      <w:r w:rsidR="008E6F5E">
        <w:t xml:space="preserve"> </w:t>
      </w:r>
    </w:p>
    <w:p w:rsidR="007C2D9D" w:rsidRDefault="007C2D9D">
      <w:r>
        <w:t>Game and Wildlife Conservation Trust</w:t>
      </w:r>
    </w:p>
    <w:p w:rsidR="001C592F" w:rsidRDefault="001C592F">
      <w:r>
        <w:t>Joint Nature Conservation Committee (Corresponding member)</w:t>
      </w:r>
    </w:p>
    <w:p w:rsidR="001C592F" w:rsidRDefault="001C592F">
      <w:r>
        <w:t>Natural England</w:t>
      </w:r>
    </w:p>
    <w:p w:rsidR="001C592F" w:rsidRDefault="001C592F">
      <w:r>
        <w:t>Natural Resources Wales</w:t>
      </w:r>
    </w:p>
    <w:p w:rsidR="001C592F" w:rsidRDefault="001C592F">
      <w:r>
        <w:t>Northern Ireland Environment Agency</w:t>
      </w:r>
    </w:p>
    <w:p w:rsidR="001C592F" w:rsidRDefault="001C592F">
      <w:r>
        <w:lastRenderedPageBreak/>
        <w:t>Royal Society for the Protection of Birds</w:t>
      </w:r>
    </w:p>
    <w:p w:rsidR="001C592F" w:rsidRDefault="001C592F">
      <w:r>
        <w:t>Scottish Natural Heritage</w:t>
      </w:r>
    </w:p>
    <w:p w:rsidR="00E65351" w:rsidRDefault="00E65351">
      <w:r w:rsidRPr="002B2942">
        <w:rPr>
          <w:highlight w:val="yellow"/>
        </w:rPr>
        <w:t>Southern Curlew Forum</w:t>
      </w:r>
    </w:p>
    <w:p w:rsidR="007C2D9D" w:rsidRPr="007C2D9D" w:rsidRDefault="00C06FFC">
      <w:pPr>
        <w:rPr>
          <w:b/>
          <w:i/>
        </w:rPr>
      </w:pPr>
      <w:r>
        <w:rPr>
          <w:b/>
          <w:i/>
        </w:rPr>
        <w:t xml:space="preserve">Republic of </w:t>
      </w:r>
      <w:r w:rsidR="006D34A4" w:rsidRPr="006D34A4">
        <w:rPr>
          <w:b/>
          <w:i/>
        </w:rPr>
        <w:t>Ireland</w:t>
      </w:r>
    </w:p>
    <w:p w:rsidR="001C592F" w:rsidRDefault="001C592F">
      <w:r>
        <w:t>Birdwatch Ireland</w:t>
      </w:r>
      <w:r w:rsidR="007F7C22">
        <w:t>, Republic of Ireland</w:t>
      </w:r>
    </w:p>
    <w:p w:rsidR="007C2D9D" w:rsidRDefault="007C2D9D">
      <w:r>
        <w:t xml:space="preserve">National Parks and Wildlife Service, </w:t>
      </w:r>
      <w:r w:rsidR="007F7C22">
        <w:t>Republic of I</w:t>
      </w:r>
      <w:r>
        <w:t>reland</w:t>
      </w:r>
    </w:p>
    <w:p w:rsidR="002647DD" w:rsidRDefault="00174BE4">
      <w:r>
        <w:t>A</w:t>
      </w:r>
      <w:r w:rsidR="002647DD">
        <w:t>dditional participants (specialists and sector representatives) may be invited, as agreed by the Action Group, to attend/contribute to specific agenda items</w:t>
      </w:r>
      <w:r w:rsidR="00B16E25">
        <w:t>.</w:t>
      </w:r>
    </w:p>
    <w:p w:rsidR="002647DD" w:rsidRDefault="002647DD"/>
    <w:p w:rsidR="006033B7" w:rsidRDefault="00E65351">
      <w:r>
        <w:t>October 2017</w:t>
      </w:r>
    </w:p>
    <w:p w:rsidR="00063C8F" w:rsidRPr="008C340D" w:rsidRDefault="00063C8F" w:rsidP="00063C8F">
      <w:pPr>
        <w:jc w:val="center"/>
        <w:rPr>
          <w:b/>
        </w:rPr>
      </w:pPr>
      <w:r>
        <w:br w:type="column"/>
      </w:r>
      <w:r w:rsidRPr="008C340D">
        <w:rPr>
          <w:b/>
        </w:rPr>
        <w:lastRenderedPageBreak/>
        <w:t>Annex 1</w:t>
      </w:r>
    </w:p>
    <w:p w:rsidR="00063C8F" w:rsidRPr="008C340D" w:rsidRDefault="00063C8F" w:rsidP="008C340D">
      <w:pPr>
        <w:jc w:val="center"/>
        <w:rPr>
          <w:b/>
        </w:rPr>
      </w:pPr>
      <w:r w:rsidRPr="008C340D">
        <w:rPr>
          <w:b/>
        </w:rPr>
        <w:t>AEWA International Single Species Action Plan</w:t>
      </w:r>
    </w:p>
    <w:p w:rsidR="008C340D" w:rsidRDefault="008C340D" w:rsidP="00192A62"/>
    <w:p w:rsidR="00C018C5" w:rsidRDefault="00C018C5" w:rsidP="00192A62">
      <w:r>
        <w:t xml:space="preserve">The International Single Species Action Plan </w:t>
      </w:r>
      <w:r w:rsidR="00AB042F">
        <w:t xml:space="preserve">for the Conservation of the Eurasian Curlew was </w:t>
      </w:r>
      <w:r>
        <w:t xml:space="preserve">adopted </w:t>
      </w:r>
      <w:r w:rsidR="00AB042F">
        <w:t>on November 2015 at the 6</w:t>
      </w:r>
      <w:r w:rsidR="00AB042F" w:rsidRPr="00AB042F">
        <w:rPr>
          <w:vertAlign w:val="superscript"/>
        </w:rPr>
        <w:t>th</w:t>
      </w:r>
      <w:r w:rsidR="00AB042F">
        <w:t xml:space="preserve"> Session of the Meeting of the Parties to AEWA</w:t>
      </w:r>
      <w:r>
        <w:t xml:space="preserve">.  A full copy of the Action Plan is available </w:t>
      </w:r>
      <w:hyperlink r:id="rId8" w:history="1">
        <w:r w:rsidR="00B16E25">
          <w:rPr>
            <w:rStyle w:val="Hyperlink"/>
          </w:rPr>
          <w:t>h</w:t>
        </w:r>
        <w:r>
          <w:rPr>
            <w:rStyle w:val="Hyperlink"/>
          </w:rPr>
          <w:t>ere</w:t>
        </w:r>
      </w:hyperlink>
      <w:r>
        <w:t>.</w:t>
      </w:r>
    </w:p>
    <w:p w:rsidR="00C018C5" w:rsidRPr="00192A62" w:rsidRDefault="00984FB8" w:rsidP="00C018C5">
      <w:r>
        <w:t xml:space="preserve">The plan </w:t>
      </w:r>
      <w:r w:rsidR="00C018C5" w:rsidRPr="00C018C5">
        <w:rPr>
          <w:bCs/>
          <w:lang w:val="en-US"/>
        </w:rPr>
        <w:t>aim</w:t>
      </w:r>
      <w:r>
        <w:rPr>
          <w:bCs/>
          <w:lang w:val="en-US"/>
        </w:rPr>
        <w:t xml:space="preserve">s </w:t>
      </w:r>
      <w:r w:rsidR="00C018C5" w:rsidRPr="00C018C5">
        <w:rPr>
          <w:bCs/>
          <w:lang w:val="en-US"/>
        </w:rPr>
        <w:t>to</w:t>
      </w:r>
      <w:r w:rsidR="00C018C5">
        <w:rPr>
          <w:b/>
          <w:bCs/>
          <w:lang w:val="en-US"/>
        </w:rPr>
        <w:t xml:space="preserve"> </w:t>
      </w:r>
      <w:proofErr w:type="spellStart"/>
      <w:r w:rsidR="00C018C5" w:rsidRPr="00192A62">
        <w:rPr>
          <w:lang w:val="en-US"/>
        </w:rPr>
        <w:t>stabilise</w:t>
      </w:r>
      <w:proofErr w:type="spellEnd"/>
      <w:r w:rsidR="00C018C5" w:rsidRPr="00192A62">
        <w:rPr>
          <w:lang w:val="en-US"/>
        </w:rPr>
        <w:t xml:space="preserve"> breeding population declines of </w:t>
      </w:r>
      <w:r w:rsidR="00C018C5" w:rsidRPr="00192A62">
        <w:rPr>
          <w:i/>
          <w:iCs/>
          <w:lang w:val="en-US"/>
        </w:rPr>
        <w:t>N. a. arquata</w:t>
      </w:r>
      <w:r w:rsidR="00C018C5" w:rsidRPr="00192A62">
        <w:rPr>
          <w:lang w:val="en-US"/>
        </w:rPr>
        <w:t xml:space="preserve">; to improve knowledge relating to the population and conservation status of </w:t>
      </w:r>
      <w:r w:rsidR="00C018C5" w:rsidRPr="00192A62">
        <w:rPr>
          <w:i/>
          <w:iCs/>
          <w:lang w:val="en-US"/>
        </w:rPr>
        <w:t xml:space="preserve">N. a. </w:t>
      </w:r>
      <w:proofErr w:type="spellStart"/>
      <w:r w:rsidR="00C018C5" w:rsidRPr="00192A62">
        <w:rPr>
          <w:i/>
          <w:iCs/>
          <w:lang w:val="en-US"/>
        </w:rPr>
        <w:t>orientalis</w:t>
      </w:r>
      <w:proofErr w:type="spellEnd"/>
      <w:r w:rsidR="00C018C5" w:rsidRPr="00192A62">
        <w:rPr>
          <w:i/>
          <w:iCs/>
          <w:lang w:val="en-US"/>
        </w:rPr>
        <w:t xml:space="preserve"> </w:t>
      </w:r>
      <w:r w:rsidR="00C018C5" w:rsidRPr="00192A62">
        <w:rPr>
          <w:lang w:val="en-US"/>
        </w:rPr>
        <w:t xml:space="preserve">and </w:t>
      </w:r>
      <w:r w:rsidR="00C018C5" w:rsidRPr="00192A62">
        <w:rPr>
          <w:i/>
          <w:iCs/>
          <w:lang w:val="en-US"/>
        </w:rPr>
        <w:t xml:space="preserve">N. a. </w:t>
      </w:r>
      <w:proofErr w:type="spellStart"/>
      <w:r w:rsidR="00C018C5" w:rsidRPr="00192A62">
        <w:rPr>
          <w:i/>
          <w:iCs/>
          <w:lang w:val="en-US"/>
        </w:rPr>
        <w:t>suschkini</w:t>
      </w:r>
      <w:proofErr w:type="spellEnd"/>
      <w:r w:rsidR="00C018C5" w:rsidRPr="00192A62">
        <w:rPr>
          <w:lang w:val="en-US"/>
        </w:rPr>
        <w:t>; and for any hunting activity to be undertaken within the context of an adaptive harvest management process.</w:t>
      </w:r>
      <w:r w:rsidR="00C018C5" w:rsidRPr="00192A62">
        <w:t xml:space="preserve"> </w:t>
      </w:r>
    </w:p>
    <w:p w:rsidR="00192A62" w:rsidRPr="00192A62" w:rsidRDefault="00C018C5" w:rsidP="00192A62">
      <w:r>
        <w:t xml:space="preserve">In the longer term, the plan seeks to </w:t>
      </w:r>
      <w:r w:rsidR="00192A62" w:rsidRPr="00192A62">
        <w:rPr>
          <w:lang w:val="en-US"/>
        </w:rPr>
        <w:t xml:space="preserve">restore the favourable conservation status of the Eurasian Curlew throughout its international range, as demonstrated by its assessment as Least Concern (LC) against IUCN Red List criteria by 2026. </w:t>
      </w:r>
    </w:p>
    <w:p w:rsidR="00192A62" w:rsidRDefault="00C018C5" w:rsidP="008C340D">
      <w:r>
        <w:t>The plan presents a framework for action to guide signatories in implementation.  Th</w:t>
      </w:r>
      <w:r w:rsidR="00AB042F">
        <w:t xml:space="preserve">e overarching objectives and their associate results </w:t>
      </w:r>
      <w:r>
        <w:t>are presented below.</w:t>
      </w:r>
    </w:p>
    <w:p w:rsidR="00C018C5" w:rsidRDefault="00C018C5" w:rsidP="008C340D"/>
    <w:p w:rsidR="00192A62" w:rsidRPr="00192A62" w:rsidRDefault="00192A62" w:rsidP="00192A62">
      <w:r w:rsidRPr="00192A62">
        <w:rPr>
          <w:b/>
          <w:bCs/>
        </w:rPr>
        <w:t xml:space="preserve">FRAMEWORK FOR ACTION – </w:t>
      </w:r>
      <w:r w:rsidRPr="00192A62">
        <w:rPr>
          <w:b/>
          <w:bCs/>
          <w:i/>
          <w:iCs/>
        </w:rPr>
        <w:t>The 4 objectives &amp; their associated results</w:t>
      </w:r>
    </w:p>
    <w:p w:rsidR="00192A62" w:rsidRPr="00192A62" w:rsidRDefault="00192A62" w:rsidP="00192A62">
      <w:r w:rsidRPr="00192A62">
        <w:rPr>
          <w:b/>
          <w:bCs/>
        </w:rPr>
        <w:t>1. Ensure sufficient and adequate habitats</w:t>
      </w:r>
    </w:p>
    <w:p w:rsidR="00192A62" w:rsidRPr="00192A62" w:rsidRDefault="00192A62" w:rsidP="00192A62">
      <w:r w:rsidRPr="00192A62">
        <w:rPr>
          <w:lang w:val="en-US"/>
        </w:rPr>
        <w:t xml:space="preserve">1.1. Important breeding sites for Eurasian Curlew are appropriately protected and managed. </w:t>
      </w:r>
    </w:p>
    <w:p w:rsidR="00192A62" w:rsidRPr="00192A62" w:rsidRDefault="00192A62" w:rsidP="00192A62">
      <w:r w:rsidRPr="00192A62">
        <w:rPr>
          <w:lang w:val="en-US"/>
        </w:rPr>
        <w:t xml:space="preserve">1.2. Important staging, stopover and wintering sites for Eurasian Curlew are appropriately protected and managed. </w:t>
      </w:r>
    </w:p>
    <w:p w:rsidR="00192A62" w:rsidRPr="00192A62" w:rsidRDefault="00192A62" w:rsidP="00192A62">
      <w:r w:rsidRPr="00192A62">
        <w:rPr>
          <w:b/>
          <w:bCs/>
        </w:rPr>
        <w:t xml:space="preserve">2. Increase productivity </w:t>
      </w:r>
    </w:p>
    <w:p w:rsidR="00192A62" w:rsidRPr="00192A62" w:rsidRDefault="00192A62" w:rsidP="00192A62">
      <w:r w:rsidRPr="00192A62">
        <w:rPr>
          <w:lang w:val="en-US"/>
        </w:rPr>
        <w:t xml:space="preserve">2.1. The impact of farming operations on breeding success is </w:t>
      </w:r>
      <w:proofErr w:type="spellStart"/>
      <w:r w:rsidRPr="00192A62">
        <w:rPr>
          <w:lang w:val="en-US"/>
        </w:rPr>
        <w:t>minimised</w:t>
      </w:r>
      <w:proofErr w:type="spellEnd"/>
      <w:r w:rsidRPr="00192A62">
        <w:rPr>
          <w:lang w:val="en-US"/>
        </w:rPr>
        <w:t xml:space="preserve"> and beneficial farming practices are supported and encouraged. </w:t>
      </w:r>
    </w:p>
    <w:p w:rsidR="00192A62" w:rsidRDefault="00192A62" w:rsidP="00192A62">
      <w:pPr>
        <w:rPr>
          <w:lang w:val="en-US"/>
        </w:rPr>
      </w:pPr>
      <w:r w:rsidRPr="00192A62">
        <w:rPr>
          <w:lang w:val="en-US"/>
        </w:rPr>
        <w:t>2.2. Land management techniques that reduce levels of nest and chick predation to those associated with stable or increasing populations are promoted and investigated</w:t>
      </w:r>
    </w:p>
    <w:p w:rsidR="00192A62" w:rsidRPr="00192A62" w:rsidRDefault="00192A62" w:rsidP="00192A62">
      <w:r w:rsidRPr="00192A62">
        <w:rPr>
          <w:b/>
          <w:bCs/>
        </w:rPr>
        <w:t xml:space="preserve">3. Increase survival rates </w:t>
      </w:r>
    </w:p>
    <w:p w:rsidR="00192A62" w:rsidRPr="00192A62" w:rsidRDefault="00192A62" w:rsidP="00192A62">
      <w:r w:rsidRPr="00192A62">
        <w:rPr>
          <w:lang w:val="en-US"/>
        </w:rPr>
        <w:t xml:space="preserve">3.1. Any harvest, if undertaken, is sustainable </w:t>
      </w:r>
    </w:p>
    <w:p w:rsidR="00192A62" w:rsidRPr="00192A62" w:rsidRDefault="00192A62" w:rsidP="00192A62">
      <w:r w:rsidRPr="00192A62">
        <w:rPr>
          <w:b/>
          <w:bCs/>
          <w:lang w:val="en-US"/>
        </w:rPr>
        <w:t xml:space="preserve">4. Fill key knowledge gaps </w:t>
      </w:r>
    </w:p>
    <w:p w:rsidR="00192A62" w:rsidRPr="00192A62" w:rsidRDefault="00192A62" w:rsidP="00192A62">
      <w:r w:rsidRPr="00192A62">
        <w:rPr>
          <w:lang w:val="en-US"/>
        </w:rPr>
        <w:t xml:space="preserve">4.1. The necessary data and information required to make an informed assessment of the conservation status of </w:t>
      </w:r>
      <w:r w:rsidRPr="00192A62">
        <w:rPr>
          <w:i/>
          <w:iCs/>
          <w:lang w:val="en-US"/>
        </w:rPr>
        <w:t xml:space="preserve">N. a. </w:t>
      </w:r>
      <w:proofErr w:type="spellStart"/>
      <w:r w:rsidRPr="00192A62">
        <w:rPr>
          <w:i/>
          <w:iCs/>
          <w:lang w:val="en-US"/>
        </w:rPr>
        <w:t>suschkini</w:t>
      </w:r>
      <w:proofErr w:type="spellEnd"/>
      <w:r w:rsidRPr="00192A62">
        <w:rPr>
          <w:i/>
          <w:iCs/>
          <w:lang w:val="en-US"/>
        </w:rPr>
        <w:t xml:space="preserve"> </w:t>
      </w:r>
      <w:r w:rsidR="009D4D03" w:rsidRPr="009D4D03">
        <w:rPr>
          <w:iCs/>
          <w:lang w:val="en-US"/>
        </w:rPr>
        <w:t>is obtained. [Not UK]</w:t>
      </w:r>
    </w:p>
    <w:p w:rsidR="00192A62" w:rsidRPr="00192A62" w:rsidRDefault="00192A62" w:rsidP="00192A62">
      <w:r w:rsidRPr="00192A62">
        <w:rPr>
          <w:lang w:val="en-US"/>
        </w:rPr>
        <w:t xml:space="preserve">4.2. The necessary data and information required to provide a better understanding of </w:t>
      </w:r>
      <w:r w:rsidRPr="00192A62">
        <w:rPr>
          <w:i/>
          <w:iCs/>
          <w:lang w:val="en-US"/>
        </w:rPr>
        <w:t xml:space="preserve">N. a. arquata </w:t>
      </w:r>
      <w:r w:rsidRPr="00192A62">
        <w:rPr>
          <w:lang w:val="en-US"/>
        </w:rPr>
        <w:t>and</w:t>
      </w:r>
      <w:r w:rsidRPr="00192A62">
        <w:rPr>
          <w:i/>
          <w:iCs/>
          <w:lang w:val="en-US"/>
        </w:rPr>
        <w:t xml:space="preserve"> N. a. </w:t>
      </w:r>
      <w:proofErr w:type="spellStart"/>
      <w:r w:rsidRPr="00192A62">
        <w:rPr>
          <w:i/>
          <w:iCs/>
          <w:lang w:val="en-US"/>
        </w:rPr>
        <w:t>orientalis</w:t>
      </w:r>
      <w:proofErr w:type="spellEnd"/>
      <w:r w:rsidRPr="00192A62">
        <w:rPr>
          <w:i/>
          <w:iCs/>
          <w:lang w:val="en-US"/>
        </w:rPr>
        <w:t xml:space="preserve"> </w:t>
      </w:r>
      <w:r w:rsidRPr="00192A62">
        <w:rPr>
          <w:lang w:val="en-US"/>
        </w:rPr>
        <w:t xml:space="preserve">populations in Russia is obtained. </w:t>
      </w:r>
      <w:r w:rsidR="00984FB8">
        <w:rPr>
          <w:lang w:val="en-US"/>
        </w:rPr>
        <w:t>[Not UK]</w:t>
      </w:r>
    </w:p>
    <w:p w:rsidR="00192A62" w:rsidRPr="00192A62" w:rsidRDefault="00192A62" w:rsidP="00192A62">
      <w:r w:rsidRPr="00192A62">
        <w:rPr>
          <w:lang w:val="en-US"/>
        </w:rPr>
        <w:lastRenderedPageBreak/>
        <w:t xml:space="preserve">4.3. Survey, monitoring and research activities on </w:t>
      </w:r>
      <w:r w:rsidRPr="00192A62">
        <w:rPr>
          <w:i/>
          <w:iCs/>
          <w:lang w:val="en-US"/>
        </w:rPr>
        <w:t xml:space="preserve">N. a. arquata </w:t>
      </w:r>
      <w:r w:rsidRPr="00192A62">
        <w:rPr>
          <w:lang w:val="en-US"/>
        </w:rPr>
        <w:t xml:space="preserve">are undertaken to address knowledge gaps and improve population and demographic estimates. </w:t>
      </w:r>
    </w:p>
    <w:p w:rsidR="00192A62" w:rsidRDefault="00192A62" w:rsidP="00192A62">
      <w:r w:rsidRPr="00192A62">
        <w:rPr>
          <w:lang w:val="en-US"/>
        </w:rPr>
        <w:t>4.4. The impact of other poorly-understood threats is investigated.</w:t>
      </w:r>
      <w:r w:rsidRPr="00192A62">
        <w:t xml:space="preserve"> </w:t>
      </w:r>
    </w:p>
    <w:p w:rsidR="00AB042F" w:rsidRDefault="00AB042F" w:rsidP="00192A62"/>
    <w:p w:rsidR="00AB042F" w:rsidRPr="00192A62" w:rsidRDefault="00AB042F" w:rsidP="00192A62">
      <w:r>
        <w:t>A full list of actions that are expected to be implemented in the UK can be found here</w:t>
      </w:r>
    </w:p>
    <w:p w:rsidR="00192A62" w:rsidRDefault="00192A62" w:rsidP="00192A62"/>
    <w:sectPr w:rsidR="00192A62" w:rsidSect="00B54D7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519" w:rsidRDefault="00415519" w:rsidP="0036592E">
      <w:pPr>
        <w:spacing w:after="0" w:line="240" w:lineRule="auto"/>
      </w:pPr>
      <w:r>
        <w:separator/>
      </w:r>
    </w:p>
  </w:endnote>
  <w:endnote w:type="continuationSeparator" w:id="0">
    <w:p w:rsidR="00415519" w:rsidRDefault="00415519" w:rsidP="00365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519" w:rsidRDefault="00415519" w:rsidP="0036592E">
      <w:pPr>
        <w:spacing w:after="0" w:line="240" w:lineRule="auto"/>
      </w:pPr>
      <w:r>
        <w:separator/>
      </w:r>
    </w:p>
  </w:footnote>
  <w:footnote w:type="continuationSeparator" w:id="0">
    <w:p w:rsidR="00415519" w:rsidRDefault="00415519" w:rsidP="0036592E">
      <w:pPr>
        <w:spacing w:after="0" w:line="240" w:lineRule="auto"/>
      </w:pPr>
      <w:r>
        <w:continuationSeparator/>
      </w:r>
    </w:p>
  </w:footnote>
  <w:footnote w:id="1">
    <w:p w:rsidR="003A2E47" w:rsidRDefault="003A2E47">
      <w:pPr>
        <w:pStyle w:val="FootnoteText"/>
      </w:pPr>
      <w:r>
        <w:rPr>
          <w:rStyle w:val="FootnoteReference"/>
        </w:rPr>
        <w:footnoteRef/>
      </w:r>
      <w:r>
        <w:t xml:space="preserve"> Note – the need to provide VC/TC facilities may constrain where meetings can be held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92E" w:rsidRPr="0036592E" w:rsidRDefault="0036592E" w:rsidP="0036592E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92EE2"/>
    <w:multiLevelType w:val="hybridMultilevel"/>
    <w:tmpl w:val="93DCD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92F"/>
    <w:rsid w:val="000344F4"/>
    <w:rsid w:val="0005281B"/>
    <w:rsid w:val="0005515B"/>
    <w:rsid w:val="00063C8F"/>
    <w:rsid w:val="000B0F46"/>
    <w:rsid w:val="00146C0B"/>
    <w:rsid w:val="00150F8E"/>
    <w:rsid w:val="00153786"/>
    <w:rsid w:val="001747F4"/>
    <w:rsid w:val="00174BE4"/>
    <w:rsid w:val="00181BA6"/>
    <w:rsid w:val="00192A62"/>
    <w:rsid w:val="001C592F"/>
    <w:rsid w:val="002647DD"/>
    <w:rsid w:val="002734DD"/>
    <w:rsid w:val="002B2942"/>
    <w:rsid w:val="0036592E"/>
    <w:rsid w:val="003A2E47"/>
    <w:rsid w:val="003F08DF"/>
    <w:rsid w:val="00415519"/>
    <w:rsid w:val="00421C3A"/>
    <w:rsid w:val="0044407F"/>
    <w:rsid w:val="00471C7B"/>
    <w:rsid w:val="004A2C9B"/>
    <w:rsid w:val="004D0997"/>
    <w:rsid w:val="004F7D60"/>
    <w:rsid w:val="00503EDE"/>
    <w:rsid w:val="005539EE"/>
    <w:rsid w:val="00570D76"/>
    <w:rsid w:val="0058359A"/>
    <w:rsid w:val="005C6221"/>
    <w:rsid w:val="005F2F84"/>
    <w:rsid w:val="006033B7"/>
    <w:rsid w:val="00621D03"/>
    <w:rsid w:val="0062704D"/>
    <w:rsid w:val="0063105D"/>
    <w:rsid w:val="00687DF5"/>
    <w:rsid w:val="006C4479"/>
    <w:rsid w:val="006D34A4"/>
    <w:rsid w:val="006D4594"/>
    <w:rsid w:val="0070466D"/>
    <w:rsid w:val="007174F5"/>
    <w:rsid w:val="0074246F"/>
    <w:rsid w:val="00760587"/>
    <w:rsid w:val="00784829"/>
    <w:rsid w:val="007C2D9D"/>
    <w:rsid w:val="007E2ECF"/>
    <w:rsid w:val="007F4EE0"/>
    <w:rsid w:val="007F7C22"/>
    <w:rsid w:val="00837928"/>
    <w:rsid w:val="00852240"/>
    <w:rsid w:val="008847EC"/>
    <w:rsid w:val="00885A4D"/>
    <w:rsid w:val="008C340D"/>
    <w:rsid w:val="008E6F5E"/>
    <w:rsid w:val="00903B49"/>
    <w:rsid w:val="00913882"/>
    <w:rsid w:val="00927DD3"/>
    <w:rsid w:val="00937E71"/>
    <w:rsid w:val="009439B1"/>
    <w:rsid w:val="009439D8"/>
    <w:rsid w:val="00984FB8"/>
    <w:rsid w:val="009D4D03"/>
    <w:rsid w:val="009D4D6C"/>
    <w:rsid w:val="00A009A1"/>
    <w:rsid w:val="00A31602"/>
    <w:rsid w:val="00A41E9B"/>
    <w:rsid w:val="00AB042F"/>
    <w:rsid w:val="00AB476B"/>
    <w:rsid w:val="00B03970"/>
    <w:rsid w:val="00B14B4B"/>
    <w:rsid w:val="00B16E25"/>
    <w:rsid w:val="00B232DD"/>
    <w:rsid w:val="00B54D70"/>
    <w:rsid w:val="00BF1C35"/>
    <w:rsid w:val="00C018C5"/>
    <w:rsid w:val="00C06FFC"/>
    <w:rsid w:val="00C107A7"/>
    <w:rsid w:val="00C551E0"/>
    <w:rsid w:val="00C6796E"/>
    <w:rsid w:val="00CD1B87"/>
    <w:rsid w:val="00D64FB6"/>
    <w:rsid w:val="00DC1CC3"/>
    <w:rsid w:val="00DC403E"/>
    <w:rsid w:val="00E65351"/>
    <w:rsid w:val="00E77674"/>
    <w:rsid w:val="00E849F6"/>
    <w:rsid w:val="00E94A16"/>
    <w:rsid w:val="00ED2CE4"/>
    <w:rsid w:val="00F07FC3"/>
    <w:rsid w:val="00F117F8"/>
    <w:rsid w:val="00F705C6"/>
    <w:rsid w:val="00F75BFC"/>
    <w:rsid w:val="00FB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FFD63"/>
  <w15:docId w15:val="{24B7A923-4BA9-47CF-B9A0-194C9DD6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C7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77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76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76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6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6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18C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59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92E"/>
  </w:style>
  <w:style w:type="paragraph" w:styleId="Footer">
    <w:name w:val="footer"/>
    <w:basedOn w:val="Normal"/>
    <w:link w:val="FooterChar"/>
    <w:uiPriority w:val="99"/>
    <w:unhideWhenUsed/>
    <w:rsid w:val="003659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92E"/>
  </w:style>
  <w:style w:type="paragraph" w:styleId="FootnoteText">
    <w:name w:val="footnote text"/>
    <w:basedOn w:val="Normal"/>
    <w:link w:val="FootnoteTextChar"/>
    <w:uiPriority w:val="99"/>
    <w:semiHidden/>
    <w:unhideWhenUsed/>
    <w:rsid w:val="003A2E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2E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2E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2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ep-aewa.org/en/document/draft-international-single-species-action-plan-conservation-eurasian-curlew-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70F9B-FC15-4A58-A7E8-F1AF04881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RSPB</Company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PatrickThompson</dc:creator>
  <cp:lastModifiedBy>Sanders, Sarah</cp:lastModifiedBy>
  <cp:revision>3</cp:revision>
  <dcterms:created xsi:type="dcterms:W3CDTF">2017-10-24T13:30:00Z</dcterms:created>
  <dcterms:modified xsi:type="dcterms:W3CDTF">2017-10-24T13:46:00Z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